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BD" w:rsidRPr="000A57E8" w:rsidRDefault="008D0BBD" w:rsidP="00CC4924">
      <w:pPr>
        <w:spacing w:after="120" w:line="360" w:lineRule="auto"/>
        <w:jc w:val="center"/>
        <w:rPr>
          <w:rFonts w:ascii="Times New Roman" w:eastAsia="Times New Roman" w:hAnsi="Times New Roman"/>
          <w:b/>
          <w:sz w:val="20"/>
          <w:szCs w:val="20"/>
          <w:lang w:eastAsia="bg-BG"/>
        </w:rPr>
      </w:pPr>
      <w:r w:rsidRPr="000A57E8">
        <w:rPr>
          <w:rFonts w:ascii="Times New Roman" w:eastAsia="Times New Roman" w:hAnsi="Times New Roman"/>
          <w:b/>
          <w:sz w:val="20"/>
          <w:szCs w:val="20"/>
          <w:lang w:eastAsia="bg-BG"/>
        </w:rPr>
        <w:t>ТАБЛИЦА</w:t>
      </w:r>
    </w:p>
    <w:p w:rsidR="008D0BBD" w:rsidRPr="000A57E8" w:rsidRDefault="008D0BBD" w:rsidP="008E2CB3">
      <w:pPr>
        <w:spacing w:after="0" w:line="240" w:lineRule="auto"/>
        <w:ind w:left="1276" w:right="568"/>
        <w:jc w:val="both"/>
        <w:rPr>
          <w:rFonts w:ascii="Times New Roman" w:eastAsia="Times New Roman" w:hAnsi="Times New Roman"/>
          <w:sz w:val="20"/>
          <w:szCs w:val="20"/>
          <w:lang w:eastAsia="bg-BG"/>
        </w:rPr>
      </w:pPr>
      <w:r w:rsidRPr="000A57E8">
        <w:rPr>
          <w:rFonts w:ascii="Times New Roman" w:eastAsia="Times New Roman" w:hAnsi="Times New Roman"/>
          <w:sz w:val="20"/>
          <w:szCs w:val="20"/>
          <w:lang w:eastAsia="bg-BG"/>
        </w:rPr>
        <w:t xml:space="preserve">за отразяване на постъпилите предложения от обществено </w:t>
      </w:r>
      <w:r w:rsidR="008E2CB3" w:rsidRPr="000A57E8">
        <w:rPr>
          <w:rFonts w:ascii="Times New Roman" w:eastAsia="Times New Roman" w:hAnsi="Times New Roman"/>
          <w:sz w:val="20"/>
          <w:szCs w:val="20"/>
          <w:lang w:eastAsia="bg-BG"/>
        </w:rPr>
        <w:t>обсъждане, проведено в периода 14.03.2025 г. до 28.03.2025 г.,</w:t>
      </w:r>
      <w:r w:rsidRPr="000A57E8">
        <w:rPr>
          <w:rFonts w:ascii="Times New Roman" w:eastAsia="Times New Roman" w:hAnsi="Times New Roman"/>
          <w:color w:val="0070C0"/>
          <w:sz w:val="20"/>
          <w:szCs w:val="20"/>
          <w:lang w:eastAsia="bg-BG"/>
        </w:rPr>
        <w:t xml:space="preserve"> </w:t>
      </w:r>
      <w:r w:rsidRPr="000A57E8">
        <w:rPr>
          <w:rFonts w:ascii="Times New Roman" w:eastAsia="Times New Roman" w:hAnsi="Times New Roman"/>
          <w:sz w:val="20"/>
          <w:szCs w:val="20"/>
          <w:lang w:eastAsia="bg-BG"/>
        </w:rPr>
        <w:t xml:space="preserve">на </w:t>
      </w:r>
      <w:r w:rsidR="008E2CB3" w:rsidRPr="000A57E8">
        <w:rPr>
          <w:rFonts w:ascii="Times New Roman" w:hAnsi="Times New Roman"/>
          <w:sz w:val="20"/>
          <w:szCs w:val="20"/>
        </w:rPr>
        <w:t xml:space="preserve">проекта на Постановление на Министерския съвет за изменение на </w:t>
      </w:r>
      <w:r w:rsidR="008E2CB3" w:rsidRPr="000A57E8">
        <w:rPr>
          <w:rFonts w:ascii="Times New Roman" w:eastAsia="Times New Roman" w:hAnsi="Times New Roman"/>
          <w:sz w:val="20"/>
          <w:szCs w:val="20"/>
          <w:lang w:eastAsia="bg-BG"/>
        </w:rPr>
        <w:t>Тарифата</w:t>
      </w:r>
      <w:r w:rsidR="008E2CB3" w:rsidRPr="000A57E8">
        <w:rPr>
          <w:rFonts w:ascii="Times New Roman" w:hAnsi="Times New Roman"/>
          <w:sz w:val="20"/>
          <w:szCs w:val="20"/>
        </w:rPr>
        <w:t xml:space="preserve"> за таксите, които се събират за преминаване и ползване на републиканската пътна мрежа, приета с </w:t>
      </w:r>
      <w:r w:rsidR="008E2CB3" w:rsidRPr="000A57E8">
        <w:rPr>
          <w:rFonts w:ascii="Times New Roman" w:eastAsia="Times New Roman" w:hAnsi="Times New Roman"/>
          <w:sz w:val="20"/>
          <w:szCs w:val="20"/>
        </w:rPr>
        <w:t>Постановление</w:t>
      </w:r>
      <w:r w:rsidR="008E2CB3" w:rsidRPr="000A57E8">
        <w:rPr>
          <w:rFonts w:ascii="Times New Roman" w:hAnsi="Times New Roman"/>
          <w:sz w:val="20"/>
          <w:szCs w:val="20"/>
        </w:rPr>
        <w:t xml:space="preserve"> № 370 </w:t>
      </w:r>
      <w:r w:rsidR="008E2CB3" w:rsidRPr="000A57E8">
        <w:rPr>
          <w:rFonts w:ascii="Times New Roman" w:eastAsia="Times New Roman" w:hAnsi="Times New Roman"/>
          <w:sz w:val="20"/>
          <w:szCs w:val="20"/>
        </w:rPr>
        <w:t>на Министерския съвет</w:t>
      </w:r>
      <w:r w:rsidR="008E2CB3" w:rsidRPr="000A57E8" w:rsidDel="00764DFC">
        <w:rPr>
          <w:rFonts w:ascii="Times New Roman" w:eastAsia="Times New Roman" w:hAnsi="Times New Roman"/>
          <w:sz w:val="20"/>
          <w:szCs w:val="20"/>
        </w:rPr>
        <w:t xml:space="preserve"> </w:t>
      </w:r>
      <w:r w:rsidR="008E2CB3" w:rsidRPr="000A57E8">
        <w:rPr>
          <w:rFonts w:ascii="Times New Roman" w:eastAsia="Times New Roman" w:hAnsi="Times New Roman"/>
          <w:sz w:val="20"/>
          <w:szCs w:val="20"/>
        </w:rPr>
        <w:t xml:space="preserve"> </w:t>
      </w:r>
      <w:r w:rsidR="008E2CB3" w:rsidRPr="000A57E8">
        <w:rPr>
          <w:rFonts w:ascii="Times New Roman" w:hAnsi="Times New Roman"/>
          <w:sz w:val="20"/>
          <w:szCs w:val="20"/>
        </w:rPr>
        <w:t>от 2019 г</w:t>
      </w:r>
      <w:r w:rsidR="008E2CB3" w:rsidRPr="000A57E8">
        <w:rPr>
          <w:rFonts w:ascii="Times New Roman" w:eastAsia="Times New Roman" w:hAnsi="Times New Roman"/>
          <w:sz w:val="20"/>
          <w:szCs w:val="20"/>
        </w:rPr>
        <w:t xml:space="preserve">. </w:t>
      </w:r>
      <w:r w:rsidR="008E2CB3" w:rsidRPr="000A57E8">
        <w:rPr>
          <w:rFonts w:ascii="Times New Roman" w:eastAsia="Times New Roman" w:hAnsi="Times New Roman"/>
          <w:sz w:val="20"/>
          <w:szCs w:val="20"/>
          <w:lang w:eastAsia="bg-BG"/>
        </w:rPr>
        <w:t>(Обн</w:t>
      </w:r>
      <w:r w:rsidR="008E2CB3" w:rsidRPr="000A57E8">
        <w:rPr>
          <w:rFonts w:ascii="Times New Roman" w:hAnsi="Times New Roman"/>
          <w:sz w:val="20"/>
          <w:szCs w:val="20"/>
        </w:rPr>
        <w:t>., ДВ, бр. 101 от 2019 г.</w:t>
      </w:r>
      <w:r w:rsidR="008E2CB3" w:rsidRPr="000A57E8">
        <w:rPr>
          <w:rFonts w:ascii="Times New Roman" w:eastAsia="Times New Roman" w:hAnsi="Times New Roman"/>
          <w:sz w:val="20"/>
          <w:szCs w:val="20"/>
          <w:lang w:eastAsia="bg-BG"/>
        </w:rPr>
        <w:t>)</w:t>
      </w:r>
    </w:p>
    <w:p w:rsidR="008D0BBD" w:rsidRPr="000A57E8" w:rsidRDefault="008D0BBD" w:rsidP="008D0BBD">
      <w:pPr>
        <w:spacing w:after="0" w:line="240" w:lineRule="auto"/>
        <w:ind w:left="2268" w:right="568" w:hanging="1417"/>
        <w:jc w:val="center"/>
        <w:rPr>
          <w:rFonts w:ascii="Times New Roman" w:eastAsia="Times New Roman" w:hAnsi="Times New Roman"/>
          <w:sz w:val="20"/>
          <w:szCs w:val="20"/>
          <w:lang w:eastAsia="bg-BG"/>
        </w:rPr>
      </w:pPr>
    </w:p>
    <w:p w:rsidR="008D0BBD" w:rsidRPr="000A57E8" w:rsidRDefault="008D0BBD" w:rsidP="008D0BBD">
      <w:pPr>
        <w:spacing w:after="0" w:line="240" w:lineRule="auto"/>
        <w:ind w:left="2268" w:right="568" w:hanging="1417"/>
        <w:jc w:val="center"/>
        <w:rPr>
          <w:rFonts w:ascii="Times New Roman" w:eastAsia="Times New Roman" w:hAnsi="Times New Roman"/>
          <w:sz w:val="20"/>
          <w:szCs w:val="20"/>
          <w:lang w:eastAsia="bg-BG"/>
        </w:rPr>
      </w:pPr>
    </w:p>
    <w:tbl>
      <w:tblPr>
        <w:tblW w:w="16302"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4"/>
        <w:gridCol w:w="6945"/>
        <w:gridCol w:w="1843"/>
        <w:gridCol w:w="3686"/>
      </w:tblGrid>
      <w:tr w:rsidR="00CC4924" w:rsidRPr="000A57E8" w:rsidTr="00E05748">
        <w:tc>
          <w:tcPr>
            <w:tcW w:w="1134" w:type="dxa"/>
            <w:shd w:val="clear" w:color="auto" w:fill="D9D9D9"/>
          </w:tcPr>
          <w:p w:rsidR="008D0BBD" w:rsidRPr="000A57E8" w:rsidRDefault="008D0BBD" w:rsidP="004D236A">
            <w:pPr>
              <w:pStyle w:val="NoSpacing"/>
              <w:jc w:val="center"/>
              <w:rPr>
                <w:rFonts w:ascii="Times New Roman" w:hAnsi="Times New Roman"/>
                <w:sz w:val="20"/>
                <w:szCs w:val="20"/>
              </w:rPr>
            </w:pPr>
          </w:p>
          <w:p w:rsidR="008D0BBD" w:rsidRPr="000A57E8" w:rsidRDefault="008D0BBD" w:rsidP="004D236A">
            <w:pPr>
              <w:pStyle w:val="NoSpacing"/>
              <w:ind w:left="-108"/>
              <w:jc w:val="center"/>
              <w:rPr>
                <w:rFonts w:ascii="Times New Roman" w:hAnsi="Times New Roman"/>
                <w:sz w:val="20"/>
                <w:szCs w:val="20"/>
              </w:rPr>
            </w:pPr>
            <w:r w:rsidRPr="000A57E8">
              <w:rPr>
                <w:rFonts w:ascii="Times New Roman" w:hAnsi="Times New Roman"/>
                <w:sz w:val="20"/>
                <w:szCs w:val="20"/>
              </w:rPr>
              <w:t xml:space="preserve">№ по ред на постъпване </w:t>
            </w:r>
          </w:p>
        </w:tc>
        <w:tc>
          <w:tcPr>
            <w:tcW w:w="2694" w:type="dxa"/>
            <w:shd w:val="clear" w:color="auto" w:fill="D9D9D9"/>
          </w:tcPr>
          <w:p w:rsidR="008D0BBD" w:rsidRPr="000A57E8" w:rsidRDefault="008D0BBD" w:rsidP="004D236A">
            <w:pPr>
              <w:pStyle w:val="NoSpacing"/>
              <w:jc w:val="center"/>
              <w:rPr>
                <w:rFonts w:ascii="Times New Roman" w:hAnsi="Times New Roman"/>
                <w:sz w:val="20"/>
                <w:szCs w:val="20"/>
                <w:lang w:val="en-US"/>
              </w:rPr>
            </w:pPr>
          </w:p>
          <w:p w:rsidR="008D0BBD" w:rsidRPr="000A57E8" w:rsidRDefault="008D0BBD" w:rsidP="004D236A">
            <w:pPr>
              <w:pStyle w:val="NoSpacing"/>
              <w:jc w:val="center"/>
              <w:rPr>
                <w:rFonts w:ascii="Times New Roman" w:hAnsi="Times New Roman"/>
                <w:sz w:val="20"/>
                <w:szCs w:val="20"/>
              </w:rPr>
            </w:pPr>
          </w:p>
          <w:p w:rsidR="008D0BBD" w:rsidRPr="000A57E8" w:rsidRDefault="008D0BBD" w:rsidP="004D236A">
            <w:pPr>
              <w:pStyle w:val="NoSpacing"/>
              <w:jc w:val="center"/>
              <w:rPr>
                <w:rFonts w:ascii="Times New Roman" w:hAnsi="Times New Roman"/>
                <w:sz w:val="20"/>
                <w:szCs w:val="20"/>
              </w:rPr>
            </w:pPr>
            <w:r w:rsidRPr="000A57E8">
              <w:rPr>
                <w:rFonts w:ascii="Times New Roman" w:hAnsi="Times New Roman"/>
                <w:sz w:val="20"/>
                <w:szCs w:val="20"/>
              </w:rPr>
              <w:t>Вносител</w:t>
            </w:r>
          </w:p>
        </w:tc>
        <w:tc>
          <w:tcPr>
            <w:tcW w:w="6945" w:type="dxa"/>
            <w:shd w:val="clear" w:color="auto" w:fill="D9D9D9"/>
          </w:tcPr>
          <w:p w:rsidR="008D0BBD" w:rsidRPr="000A57E8" w:rsidRDefault="008D0BBD" w:rsidP="004D236A">
            <w:pPr>
              <w:pStyle w:val="NoSpacing"/>
              <w:jc w:val="center"/>
              <w:rPr>
                <w:rFonts w:ascii="Times New Roman" w:hAnsi="Times New Roman"/>
                <w:sz w:val="20"/>
                <w:szCs w:val="20"/>
                <w:lang w:val="en-US"/>
              </w:rPr>
            </w:pPr>
          </w:p>
          <w:p w:rsidR="008D0BBD" w:rsidRPr="000A57E8" w:rsidRDefault="008D0BBD" w:rsidP="004D236A">
            <w:pPr>
              <w:pStyle w:val="NoSpacing"/>
              <w:jc w:val="center"/>
              <w:rPr>
                <w:rFonts w:ascii="Times New Roman" w:hAnsi="Times New Roman"/>
                <w:sz w:val="20"/>
                <w:szCs w:val="20"/>
              </w:rPr>
            </w:pPr>
          </w:p>
          <w:p w:rsidR="008D0BBD" w:rsidRPr="000A57E8" w:rsidRDefault="008D0BBD" w:rsidP="004D236A">
            <w:pPr>
              <w:pStyle w:val="NoSpacing"/>
              <w:ind w:left="-1952"/>
              <w:jc w:val="center"/>
              <w:rPr>
                <w:rFonts w:ascii="Times New Roman" w:hAnsi="Times New Roman"/>
                <w:sz w:val="20"/>
                <w:szCs w:val="20"/>
              </w:rPr>
            </w:pPr>
            <w:r w:rsidRPr="000A57E8">
              <w:rPr>
                <w:rFonts w:ascii="Times New Roman" w:hAnsi="Times New Roman"/>
                <w:sz w:val="20"/>
                <w:szCs w:val="20"/>
              </w:rPr>
              <w:t>Предложение</w:t>
            </w:r>
          </w:p>
        </w:tc>
        <w:tc>
          <w:tcPr>
            <w:tcW w:w="1843" w:type="dxa"/>
            <w:shd w:val="clear" w:color="auto" w:fill="D9D9D9"/>
          </w:tcPr>
          <w:p w:rsidR="008D0BBD" w:rsidRPr="000A57E8" w:rsidRDefault="008D0BBD" w:rsidP="004B4B52">
            <w:pPr>
              <w:pStyle w:val="NoSpacing"/>
              <w:rPr>
                <w:rFonts w:ascii="Times New Roman" w:hAnsi="Times New Roman"/>
                <w:sz w:val="20"/>
                <w:szCs w:val="20"/>
              </w:rPr>
            </w:pPr>
            <w:r w:rsidRPr="000A57E8">
              <w:rPr>
                <w:rFonts w:ascii="Times New Roman" w:hAnsi="Times New Roman"/>
                <w:sz w:val="20"/>
                <w:szCs w:val="20"/>
              </w:rPr>
              <w:t>Приема / не приема предложението</w:t>
            </w:r>
          </w:p>
        </w:tc>
        <w:tc>
          <w:tcPr>
            <w:tcW w:w="3686" w:type="dxa"/>
            <w:shd w:val="clear" w:color="auto" w:fill="D9D9D9"/>
          </w:tcPr>
          <w:p w:rsidR="008D0BBD" w:rsidRPr="000A57E8" w:rsidRDefault="008D0BBD" w:rsidP="004D236A">
            <w:pPr>
              <w:pStyle w:val="NoSpacing"/>
              <w:ind w:left="-3"/>
              <w:jc w:val="center"/>
              <w:rPr>
                <w:rFonts w:ascii="Times New Roman" w:hAnsi="Times New Roman"/>
                <w:sz w:val="20"/>
                <w:szCs w:val="20"/>
              </w:rPr>
            </w:pPr>
          </w:p>
          <w:p w:rsidR="008D0BBD" w:rsidRPr="000A57E8" w:rsidRDefault="008D0BBD" w:rsidP="004D236A">
            <w:pPr>
              <w:pStyle w:val="NoSpacing"/>
              <w:ind w:left="-3"/>
              <w:jc w:val="center"/>
              <w:rPr>
                <w:rFonts w:ascii="Times New Roman" w:hAnsi="Times New Roman"/>
                <w:sz w:val="20"/>
                <w:szCs w:val="20"/>
              </w:rPr>
            </w:pPr>
          </w:p>
          <w:p w:rsidR="008D0BBD" w:rsidRPr="000A57E8" w:rsidRDefault="008D0BBD" w:rsidP="004D236A">
            <w:pPr>
              <w:pStyle w:val="NoSpacing"/>
              <w:ind w:left="-3"/>
              <w:jc w:val="center"/>
              <w:rPr>
                <w:rFonts w:ascii="Times New Roman" w:hAnsi="Times New Roman"/>
                <w:sz w:val="20"/>
                <w:szCs w:val="20"/>
              </w:rPr>
            </w:pPr>
            <w:r w:rsidRPr="000A57E8">
              <w:rPr>
                <w:rFonts w:ascii="Times New Roman" w:hAnsi="Times New Roman"/>
                <w:sz w:val="20"/>
                <w:szCs w:val="20"/>
              </w:rPr>
              <w:t>Мотиви</w:t>
            </w:r>
          </w:p>
        </w:tc>
      </w:tr>
      <w:tr w:rsidR="00CC4924" w:rsidRPr="000A57E8" w:rsidTr="00E05748">
        <w:tc>
          <w:tcPr>
            <w:tcW w:w="1134" w:type="dxa"/>
            <w:shd w:val="clear" w:color="auto" w:fill="D9D9D9"/>
          </w:tcPr>
          <w:p w:rsidR="008D0BBD" w:rsidRPr="000A57E8" w:rsidRDefault="008D0BBD" w:rsidP="004D236A">
            <w:pPr>
              <w:pStyle w:val="NoSpacing"/>
              <w:jc w:val="center"/>
              <w:rPr>
                <w:rFonts w:ascii="Times New Roman" w:hAnsi="Times New Roman"/>
                <w:sz w:val="20"/>
                <w:szCs w:val="20"/>
              </w:rPr>
            </w:pPr>
          </w:p>
        </w:tc>
        <w:tc>
          <w:tcPr>
            <w:tcW w:w="2694" w:type="dxa"/>
            <w:shd w:val="clear" w:color="auto" w:fill="D9D9D9"/>
          </w:tcPr>
          <w:p w:rsidR="008D0BBD" w:rsidRPr="000A57E8" w:rsidRDefault="008D0BBD" w:rsidP="004D236A">
            <w:pPr>
              <w:pStyle w:val="NoSpacing"/>
              <w:jc w:val="center"/>
              <w:rPr>
                <w:rFonts w:ascii="Times New Roman" w:hAnsi="Times New Roman"/>
                <w:sz w:val="20"/>
                <w:szCs w:val="20"/>
              </w:rPr>
            </w:pPr>
            <w:r w:rsidRPr="000A57E8">
              <w:rPr>
                <w:rFonts w:ascii="Times New Roman" w:hAnsi="Times New Roman"/>
                <w:sz w:val="20"/>
                <w:szCs w:val="20"/>
              </w:rPr>
              <w:t>1</w:t>
            </w:r>
          </w:p>
        </w:tc>
        <w:tc>
          <w:tcPr>
            <w:tcW w:w="6945" w:type="dxa"/>
            <w:shd w:val="clear" w:color="auto" w:fill="D9D9D9"/>
          </w:tcPr>
          <w:p w:rsidR="008D0BBD" w:rsidRPr="000A57E8" w:rsidRDefault="008D0BBD" w:rsidP="004D236A">
            <w:pPr>
              <w:pStyle w:val="NoSpacing"/>
              <w:ind w:left="-1952"/>
              <w:jc w:val="center"/>
              <w:rPr>
                <w:rFonts w:ascii="Times New Roman" w:hAnsi="Times New Roman"/>
                <w:sz w:val="20"/>
                <w:szCs w:val="20"/>
              </w:rPr>
            </w:pPr>
            <w:r w:rsidRPr="000A57E8">
              <w:rPr>
                <w:rFonts w:ascii="Times New Roman" w:hAnsi="Times New Roman"/>
                <w:sz w:val="20"/>
                <w:szCs w:val="20"/>
              </w:rPr>
              <w:t xml:space="preserve">                                2</w:t>
            </w:r>
          </w:p>
        </w:tc>
        <w:tc>
          <w:tcPr>
            <w:tcW w:w="1843" w:type="dxa"/>
            <w:shd w:val="clear" w:color="auto" w:fill="D9D9D9"/>
          </w:tcPr>
          <w:p w:rsidR="008D0BBD" w:rsidRPr="000A57E8" w:rsidRDefault="008D0BBD" w:rsidP="004D236A">
            <w:pPr>
              <w:pStyle w:val="NoSpacing"/>
              <w:jc w:val="center"/>
              <w:rPr>
                <w:rFonts w:ascii="Times New Roman" w:hAnsi="Times New Roman"/>
                <w:sz w:val="20"/>
                <w:szCs w:val="20"/>
              </w:rPr>
            </w:pPr>
            <w:r w:rsidRPr="000A57E8">
              <w:rPr>
                <w:rFonts w:ascii="Times New Roman" w:hAnsi="Times New Roman"/>
                <w:sz w:val="20"/>
                <w:szCs w:val="20"/>
              </w:rPr>
              <w:t>3</w:t>
            </w:r>
          </w:p>
        </w:tc>
        <w:tc>
          <w:tcPr>
            <w:tcW w:w="3686" w:type="dxa"/>
            <w:shd w:val="clear" w:color="auto" w:fill="D9D9D9"/>
          </w:tcPr>
          <w:p w:rsidR="008D0BBD" w:rsidRPr="000A57E8" w:rsidRDefault="008D0BBD" w:rsidP="004D236A">
            <w:pPr>
              <w:pStyle w:val="NoSpacing"/>
              <w:ind w:left="34"/>
              <w:jc w:val="center"/>
              <w:rPr>
                <w:rFonts w:ascii="Times New Roman" w:hAnsi="Times New Roman"/>
                <w:sz w:val="20"/>
                <w:szCs w:val="20"/>
              </w:rPr>
            </w:pPr>
            <w:r w:rsidRPr="000A57E8">
              <w:rPr>
                <w:rFonts w:ascii="Times New Roman" w:hAnsi="Times New Roman"/>
                <w:sz w:val="20"/>
                <w:szCs w:val="20"/>
              </w:rPr>
              <w:t>4</w:t>
            </w:r>
          </w:p>
        </w:tc>
      </w:tr>
      <w:tr w:rsidR="001054D8" w:rsidRPr="000A57E8" w:rsidTr="00E05748">
        <w:trPr>
          <w:trHeight w:val="1601"/>
        </w:trPr>
        <w:tc>
          <w:tcPr>
            <w:tcW w:w="1134" w:type="dxa"/>
          </w:tcPr>
          <w:p w:rsidR="008D0BBD" w:rsidRPr="000A57E8" w:rsidRDefault="005A2F12" w:rsidP="004D236A">
            <w:pPr>
              <w:pStyle w:val="NoSpacing"/>
              <w:ind w:firstLine="41"/>
              <w:rPr>
                <w:rFonts w:ascii="Times New Roman" w:hAnsi="Times New Roman"/>
                <w:b/>
                <w:sz w:val="20"/>
                <w:szCs w:val="20"/>
              </w:rPr>
            </w:pPr>
            <w:r w:rsidRPr="000A57E8">
              <w:rPr>
                <w:rFonts w:ascii="Times New Roman" w:hAnsi="Times New Roman"/>
                <w:b/>
                <w:sz w:val="20"/>
                <w:szCs w:val="20"/>
              </w:rPr>
              <w:t>1</w:t>
            </w:r>
          </w:p>
        </w:tc>
        <w:tc>
          <w:tcPr>
            <w:tcW w:w="2694" w:type="dxa"/>
            <w:shd w:val="clear" w:color="auto" w:fill="auto"/>
          </w:tcPr>
          <w:p w:rsidR="008D0BBD" w:rsidRPr="000A57E8" w:rsidRDefault="005A2F12" w:rsidP="004D236A">
            <w:pPr>
              <w:spacing w:after="150" w:line="240" w:lineRule="auto"/>
              <w:outlineLvl w:val="3"/>
              <w:rPr>
                <w:rFonts w:ascii="Times New Roman" w:eastAsia="Times New Roman" w:hAnsi="Times New Roman"/>
                <w:b/>
                <w:bCs/>
                <w:sz w:val="20"/>
                <w:szCs w:val="20"/>
                <w:lang w:eastAsia="bg-BG"/>
              </w:rPr>
            </w:pPr>
            <w:r w:rsidRPr="000A57E8">
              <w:rPr>
                <w:rFonts w:ascii="Times New Roman" w:hAnsi="Times New Roman"/>
                <w:sz w:val="20"/>
                <w:szCs w:val="20"/>
              </w:rPr>
              <w:t>bboy4</w:t>
            </w:r>
          </w:p>
        </w:tc>
        <w:tc>
          <w:tcPr>
            <w:tcW w:w="6945" w:type="dxa"/>
            <w:shd w:val="clear" w:color="auto" w:fill="auto"/>
          </w:tcPr>
          <w:p w:rsidR="005A2F12" w:rsidRPr="000A57E8" w:rsidRDefault="005A2F12" w:rsidP="005A2F12">
            <w:pPr>
              <w:pStyle w:val="NormalWeb"/>
              <w:spacing w:before="0" w:beforeAutospacing="0" w:after="0" w:afterAutospacing="0" w:line="276" w:lineRule="auto"/>
              <w:rPr>
                <w:color w:val="333333"/>
                <w:sz w:val="20"/>
                <w:szCs w:val="20"/>
              </w:rPr>
            </w:pPr>
            <w:r w:rsidRPr="000A57E8">
              <w:rPr>
                <w:color w:val="333333"/>
                <w:sz w:val="20"/>
                <w:szCs w:val="20"/>
              </w:rPr>
              <w:t>1. Еднократно изменение на тарифата от 01.04.2025г., като увеличението на таксите следва да е не по-малко от натрупаната инфлация за периода 2022-2024г.</w:t>
            </w:r>
          </w:p>
          <w:p w:rsidR="008D0BBD" w:rsidRPr="000A57E8" w:rsidRDefault="005A2F12" w:rsidP="005A2F12">
            <w:pPr>
              <w:pStyle w:val="NormalWeb"/>
              <w:spacing w:before="0" w:beforeAutospacing="0" w:after="0" w:afterAutospacing="0" w:line="276" w:lineRule="auto"/>
              <w:rPr>
                <w:color w:val="333333"/>
                <w:sz w:val="20"/>
                <w:szCs w:val="20"/>
              </w:rPr>
            </w:pPr>
            <w:r w:rsidRPr="000A57E8">
              <w:rPr>
                <w:color w:val="333333"/>
                <w:sz w:val="20"/>
                <w:szCs w:val="20"/>
              </w:rPr>
              <w:t>2. В постановлението трябва да се добави методика за ежегодна актуализация на тарифата съобразно отчетената инфлация за предходната година и не по-малко от достигнатите вече нива като дял от БВП.</w:t>
            </w:r>
          </w:p>
        </w:tc>
        <w:tc>
          <w:tcPr>
            <w:tcW w:w="1843" w:type="dxa"/>
            <w:shd w:val="clear" w:color="auto" w:fill="auto"/>
          </w:tcPr>
          <w:p w:rsidR="008D0BBD" w:rsidRPr="000A57E8" w:rsidRDefault="005A2F12" w:rsidP="004D236A">
            <w:pPr>
              <w:pStyle w:val="NoSpacing"/>
              <w:ind w:right="-108"/>
              <w:jc w:val="center"/>
              <w:rPr>
                <w:rFonts w:ascii="Times New Roman" w:hAnsi="Times New Roman"/>
                <w:sz w:val="20"/>
                <w:szCs w:val="20"/>
              </w:rPr>
            </w:pPr>
            <w:r w:rsidRPr="000A57E8">
              <w:rPr>
                <w:rFonts w:ascii="Times New Roman" w:hAnsi="Times New Roman"/>
                <w:sz w:val="20"/>
                <w:szCs w:val="20"/>
              </w:rPr>
              <w:t xml:space="preserve">Не </w:t>
            </w:r>
            <w:r w:rsidR="00523983">
              <w:rPr>
                <w:rFonts w:ascii="Times New Roman" w:hAnsi="Times New Roman"/>
                <w:sz w:val="20"/>
                <w:szCs w:val="20"/>
              </w:rPr>
              <w:t xml:space="preserve">се </w:t>
            </w:r>
            <w:r w:rsidRPr="000A57E8">
              <w:rPr>
                <w:rFonts w:ascii="Times New Roman" w:hAnsi="Times New Roman"/>
                <w:sz w:val="20"/>
                <w:szCs w:val="20"/>
              </w:rPr>
              <w:t>приема предложението</w:t>
            </w:r>
          </w:p>
        </w:tc>
        <w:tc>
          <w:tcPr>
            <w:tcW w:w="3686" w:type="dxa"/>
            <w:shd w:val="clear" w:color="auto" w:fill="auto"/>
          </w:tcPr>
          <w:p w:rsidR="008D0BBD" w:rsidRPr="000A57E8" w:rsidRDefault="00447B01" w:rsidP="00500059">
            <w:pPr>
              <w:pStyle w:val="NoSpacing"/>
              <w:ind w:left="-108"/>
              <w:jc w:val="both"/>
              <w:rPr>
                <w:rFonts w:ascii="Times New Roman" w:hAnsi="Times New Roman"/>
                <w:sz w:val="20"/>
                <w:szCs w:val="20"/>
              </w:rPr>
            </w:pPr>
            <w:r>
              <w:rPr>
                <w:rFonts w:ascii="Times New Roman" w:hAnsi="Times New Roman"/>
                <w:sz w:val="20"/>
                <w:szCs w:val="20"/>
              </w:rPr>
              <w:t xml:space="preserve">При изготвяне </w:t>
            </w:r>
            <w:r w:rsidR="00500059">
              <w:rPr>
                <w:rFonts w:ascii="Times New Roman" w:hAnsi="Times New Roman"/>
                <w:sz w:val="20"/>
                <w:szCs w:val="20"/>
              </w:rPr>
              <w:t xml:space="preserve">на </w:t>
            </w:r>
            <w:r>
              <w:rPr>
                <w:rFonts w:ascii="Times New Roman" w:hAnsi="Times New Roman"/>
                <w:sz w:val="20"/>
                <w:szCs w:val="20"/>
              </w:rPr>
              <w:t>документацията</w:t>
            </w:r>
            <w:r w:rsidR="00357AAE">
              <w:rPr>
                <w:rFonts w:ascii="Times New Roman" w:hAnsi="Times New Roman"/>
                <w:sz w:val="20"/>
                <w:szCs w:val="20"/>
              </w:rPr>
              <w:t>,</w:t>
            </w:r>
            <w:r>
              <w:rPr>
                <w:rFonts w:ascii="Times New Roman" w:hAnsi="Times New Roman"/>
                <w:sz w:val="20"/>
                <w:szCs w:val="20"/>
              </w:rPr>
              <w:t xml:space="preserve"> свързана</w:t>
            </w:r>
            <w:r w:rsidR="003D0FFA">
              <w:rPr>
                <w:rFonts w:ascii="Times New Roman" w:hAnsi="Times New Roman"/>
                <w:sz w:val="20"/>
                <w:szCs w:val="20"/>
              </w:rPr>
              <w:t xml:space="preserve"> с </w:t>
            </w:r>
            <w:r>
              <w:rPr>
                <w:rFonts w:ascii="Times New Roman" w:hAnsi="Times New Roman"/>
                <w:sz w:val="20"/>
                <w:szCs w:val="20"/>
              </w:rPr>
              <w:t>проекта на ПМС</w:t>
            </w:r>
            <w:r w:rsidR="00357AAE">
              <w:rPr>
                <w:rFonts w:ascii="Times New Roman" w:hAnsi="Times New Roman"/>
                <w:sz w:val="20"/>
                <w:szCs w:val="20"/>
              </w:rPr>
              <w:t>,</w:t>
            </w:r>
            <w:r>
              <w:rPr>
                <w:rFonts w:ascii="Times New Roman" w:hAnsi="Times New Roman"/>
                <w:sz w:val="20"/>
                <w:szCs w:val="20"/>
              </w:rPr>
              <w:t xml:space="preserve"> информацията е съобразена и с </w:t>
            </w:r>
            <w:r w:rsidR="00357AAE">
              <w:rPr>
                <w:rFonts w:ascii="Times New Roman" w:hAnsi="Times New Roman"/>
                <w:sz w:val="20"/>
                <w:szCs w:val="20"/>
              </w:rPr>
              <w:t xml:space="preserve">инфлацията, </w:t>
            </w:r>
            <w:r>
              <w:rPr>
                <w:rFonts w:ascii="Times New Roman" w:hAnsi="Times New Roman"/>
                <w:sz w:val="20"/>
                <w:szCs w:val="20"/>
              </w:rPr>
              <w:t xml:space="preserve"> </w:t>
            </w:r>
            <w:r w:rsidR="00357AAE">
              <w:rPr>
                <w:rFonts w:ascii="Times New Roman" w:hAnsi="Times New Roman"/>
                <w:sz w:val="20"/>
                <w:szCs w:val="20"/>
              </w:rPr>
              <w:t xml:space="preserve">измерена за България чрез промени </w:t>
            </w:r>
            <w:r w:rsidRPr="00447B01">
              <w:rPr>
                <w:rFonts w:ascii="Times New Roman" w:hAnsi="Times New Roman"/>
                <w:sz w:val="20"/>
                <w:szCs w:val="20"/>
              </w:rPr>
              <w:t>в общоевропейския хармонизиран индекс на потребителските цени и без енергията и непреработените храни, публикуван</w:t>
            </w:r>
            <w:r w:rsidR="00357AAE">
              <w:rPr>
                <w:rFonts w:ascii="Times New Roman" w:hAnsi="Times New Roman"/>
                <w:sz w:val="20"/>
                <w:szCs w:val="20"/>
              </w:rPr>
              <w:t>а</w:t>
            </w:r>
            <w:r w:rsidRPr="00447B01">
              <w:rPr>
                <w:rFonts w:ascii="Times New Roman" w:hAnsi="Times New Roman"/>
                <w:sz w:val="20"/>
                <w:szCs w:val="20"/>
              </w:rPr>
              <w:t xml:space="preserve"> от</w:t>
            </w:r>
            <w:r w:rsidR="00357AAE">
              <w:rPr>
                <w:rFonts w:ascii="Times New Roman" w:hAnsi="Times New Roman"/>
                <w:sz w:val="20"/>
                <w:szCs w:val="20"/>
              </w:rPr>
              <w:t xml:space="preserve"> Комисията (Евростат)</w:t>
            </w:r>
            <w:r>
              <w:rPr>
                <w:rFonts w:ascii="Times New Roman" w:hAnsi="Times New Roman"/>
                <w:sz w:val="20"/>
                <w:szCs w:val="20"/>
              </w:rPr>
              <w:t>.</w:t>
            </w:r>
          </w:p>
        </w:tc>
      </w:tr>
      <w:tr w:rsidR="001054D8" w:rsidRPr="000A57E8" w:rsidTr="00E05748">
        <w:trPr>
          <w:trHeight w:val="1176"/>
        </w:trPr>
        <w:tc>
          <w:tcPr>
            <w:tcW w:w="1134" w:type="dxa"/>
          </w:tcPr>
          <w:p w:rsidR="008D0BBD" w:rsidRPr="000A57E8" w:rsidRDefault="000A57E8" w:rsidP="004D236A">
            <w:pPr>
              <w:pStyle w:val="NoSpacing"/>
              <w:rPr>
                <w:rFonts w:ascii="Times New Roman" w:hAnsi="Times New Roman"/>
                <w:b/>
                <w:sz w:val="20"/>
                <w:szCs w:val="20"/>
              </w:rPr>
            </w:pPr>
            <w:r>
              <w:rPr>
                <w:rFonts w:ascii="Times New Roman" w:hAnsi="Times New Roman"/>
                <w:b/>
                <w:sz w:val="20"/>
                <w:szCs w:val="20"/>
              </w:rPr>
              <w:t xml:space="preserve"> </w:t>
            </w:r>
            <w:r w:rsidR="00653C5D" w:rsidRPr="000A57E8">
              <w:rPr>
                <w:rFonts w:ascii="Times New Roman" w:hAnsi="Times New Roman"/>
                <w:b/>
                <w:sz w:val="20"/>
                <w:szCs w:val="20"/>
              </w:rPr>
              <w:t>2</w:t>
            </w:r>
          </w:p>
        </w:tc>
        <w:tc>
          <w:tcPr>
            <w:tcW w:w="2694" w:type="dxa"/>
            <w:shd w:val="clear" w:color="auto" w:fill="auto"/>
          </w:tcPr>
          <w:p w:rsidR="008D0BBD" w:rsidRPr="000A57E8" w:rsidRDefault="00653C5D" w:rsidP="004D236A">
            <w:pPr>
              <w:spacing w:after="150" w:line="240" w:lineRule="auto"/>
              <w:outlineLvl w:val="3"/>
              <w:rPr>
                <w:rFonts w:ascii="Times New Roman" w:eastAsia="Times New Roman" w:hAnsi="Times New Roman"/>
                <w:b/>
                <w:bCs/>
                <w:sz w:val="20"/>
                <w:szCs w:val="20"/>
                <w:lang w:eastAsia="bg-BG"/>
              </w:rPr>
            </w:pPr>
            <w:r w:rsidRPr="000A57E8">
              <w:rPr>
                <w:rFonts w:ascii="Times New Roman" w:hAnsi="Times New Roman"/>
                <w:sz w:val="20"/>
                <w:szCs w:val="20"/>
              </w:rPr>
              <w:t>Севастократор</w:t>
            </w:r>
          </w:p>
        </w:tc>
        <w:tc>
          <w:tcPr>
            <w:tcW w:w="6945" w:type="dxa"/>
            <w:shd w:val="clear" w:color="auto" w:fill="auto"/>
          </w:tcPr>
          <w:p w:rsidR="00653C5D" w:rsidRPr="000A57E8" w:rsidRDefault="00653C5D" w:rsidP="00653C5D">
            <w:pPr>
              <w:pStyle w:val="NormalWeb"/>
              <w:spacing w:before="0" w:beforeAutospacing="0" w:after="120" w:afterAutospacing="0" w:line="210" w:lineRule="atLeast"/>
              <w:rPr>
                <w:color w:val="333333"/>
                <w:sz w:val="20"/>
                <w:szCs w:val="20"/>
              </w:rPr>
            </w:pPr>
            <w:r w:rsidRPr="000A57E8">
              <w:rPr>
                <w:color w:val="333333"/>
                <w:sz w:val="20"/>
                <w:szCs w:val="20"/>
              </w:rPr>
              <w:t>Служителите на БГ ТОЛ трябва да се закрият, има достатъчно камери, които засичат МПС без платена винетка/ТОЛ такса, не е нужно да присъстват физически с палките в ръка. Камерите на КАТ да се направят да засичат и неплатени винетки. При засичане на нарушител с чужда регистрация да се плаща глобата незабавно на границата преди напускне на страната. </w:t>
            </w:r>
          </w:p>
          <w:p w:rsidR="00653C5D" w:rsidRPr="000A57E8" w:rsidRDefault="00653C5D" w:rsidP="00653C5D">
            <w:pPr>
              <w:pStyle w:val="NormalWeb"/>
              <w:spacing w:before="0" w:beforeAutospacing="0" w:after="120" w:afterAutospacing="0" w:line="210" w:lineRule="atLeast"/>
              <w:rPr>
                <w:color w:val="333333"/>
                <w:sz w:val="20"/>
                <w:szCs w:val="20"/>
              </w:rPr>
            </w:pPr>
            <w:r w:rsidRPr="000A57E8">
              <w:rPr>
                <w:color w:val="333333"/>
                <w:sz w:val="20"/>
                <w:szCs w:val="20"/>
              </w:rPr>
              <w:t>ЕКО таксите да влизат в държавния бюджет, а не в частни фирми, които не правят нищо - тези екотакси са грабеж.</w:t>
            </w:r>
          </w:p>
          <w:p w:rsidR="008D0BBD" w:rsidRPr="000A57E8" w:rsidRDefault="00653C5D" w:rsidP="00653C5D">
            <w:pPr>
              <w:pStyle w:val="NormalWeb"/>
              <w:spacing w:before="0" w:beforeAutospacing="0" w:after="120" w:afterAutospacing="0" w:line="210" w:lineRule="atLeast"/>
              <w:rPr>
                <w:color w:val="333333"/>
                <w:sz w:val="20"/>
                <w:szCs w:val="20"/>
              </w:rPr>
            </w:pPr>
            <w:r w:rsidRPr="000A57E8">
              <w:rPr>
                <w:color w:val="333333"/>
                <w:sz w:val="20"/>
                <w:szCs w:val="20"/>
              </w:rPr>
              <w:t>Парите от зеления стикер, който лепим на стъклото за застраховка - също да влизат в държавния бюджет, а не да отива в частни ръце - тези стикери са схема и грабеж.</w:t>
            </w:r>
          </w:p>
        </w:tc>
        <w:tc>
          <w:tcPr>
            <w:tcW w:w="1843" w:type="dxa"/>
            <w:shd w:val="clear" w:color="auto" w:fill="auto"/>
          </w:tcPr>
          <w:p w:rsidR="008D0BBD" w:rsidRPr="000A57E8" w:rsidRDefault="00823CD1" w:rsidP="004D236A">
            <w:pPr>
              <w:pStyle w:val="NoSpacing"/>
              <w:ind w:right="-108"/>
              <w:jc w:val="center"/>
              <w:rPr>
                <w:rFonts w:ascii="Times New Roman" w:hAnsi="Times New Roman"/>
                <w:sz w:val="20"/>
                <w:szCs w:val="20"/>
              </w:rPr>
            </w:pPr>
            <w:r w:rsidRPr="000A57E8">
              <w:rPr>
                <w:rFonts w:ascii="Times New Roman" w:hAnsi="Times New Roman"/>
                <w:sz w:val="20"/>
                <w:szCs w:val="20"/>
              </w:rPr>
              <w:t xml:space="preserve">Не </w:t>
            </w:r>
            <w:r>
              <w:rPr>
                <w:rFonts w:ascii="Times New Roman" w:hAnsi="Times New Roman"/>
                <w:sz w:val="20"/>
                <w:szCs w:val="20"/>
              </w:rPr>
              <w:t xml:space="preserve">се </w:t>
            </w:r>
            <w:r w:rsidRPr="000A57E8">
              <w:rPr>
                <w:rFonts w:ascii="Times New Roman" w:hAnsi="Times New Roman"/>
                <w:sz w:val="20"/>
                <w:szCs w:val="20"/>
              </w:rPr>
              <w:t>приема предложението</w:t>
            </w:r>
          </w:p>
        </w:tc>
        <w:tc>
          <w:tcPr>
            <w:tcW w:w="3686" w:type="dxa"/>
            <w:shd w:val="clear" w:color="auto" w:fill="auto"/>
          </w:tcPr>
          <w:p w:rsidR="008D0BBD" w:rsidRPr="000A57E8" w:rsidRDefault="00245FD7" w:rsidP="003D0FFA">
            <w:pPr>
              <w:jc w:val="both"/>
              <w:rPr>
                <w:rFonts w:ascii="Times New Roman" w:hAnsi="Times New Roman"/>
                <w:sz w:val="20"/>
                <w:szCs w:val="20"/>
              </w:rPr>
            </w:pPr>
            <w:r w:rsidRPr="000A57E8">
              <w:rPr>
                <w:rFonts w:ascii="Times New Roman" w:hAnsi="Times New Roman"/>
                <w:sz w:val="20"/>
                <w:szCs w:val="20"/>
              </w:rPr>
              <w:t>Направените</w:t>
            </w:r>
            <w:r w:rsidR="00653C5D" w:rsidRPr="000A57E8">
              <w:rPr>
                <w:rFonts w:ascii="Times New Roman" w:hAnsi="Times New Roman"/>
                <w:sz w:val="20"/>
                <w:szCs w:val="20"/>
              </w:rPr>
              <w:t xml:space="preserve"> предложения нямат отношение към </w:t>
            </w:r>
            <w:r w:rsidR="000A57E8">
              <w:rPr>
                <w:rFonts w:ascii="Times New Roman" w:hAnsi="Times New Roman"/>
                <w:sz w:val="20"/>
                <w:szCs w:val="20"/>
              </w:rPr>
              <w:t>предложения за обсъждане</w:t>
            </w:r>
            <w:r w:rsidR="00653C5D" w:rsidRPr="000A57E8">
              <w:rPr>
                <w:rFonts w:ascii="Times New Roman" w:hAnsi="Times New Roman"/>
                <w:sz w:val="20"/>
                <w:szCs w:val="20"/>
              </w:rPr>
              <w:t xml:space="preserve"> </w:t>
            </w:r>
            <w:r w:rsidR="00430968">
              <w:rPr>
                <w:rFonts w:ascii="Times New Roman" w:hAnsi="Times New Roman"/>
                <w:sz w:val="20"/>
                <w:szCs w:val="20"/>
              </w:rPr>
              <w:t>проект на</w:t>
            </w:r>
            <w:r w:rsidR="00BC3A40">
              <w:rPr>
                <w:rFonts w:ascii="Times New Roman" w:hAnsi="Times New Roman"/>
                <w:sz w:val="20"/>
                <w:szCs w:val="20"/>
              </w:rPr>
              <w:t xml:space="preserve"> </w:t>
            </w:r>
            <w:r w:rsidR="00653C5D" w:rsidRPr="000A57E8">
              <w:rPr>
                <w:rFonts w:ascii="Times New Roman" w:hAnsi="Times New Roman"/>
                <w:sz w:val="20"/>
                <w:szCs w:val="20"/>
              </w:rPr>
              <w:t>акт.</w:t>
            </w:r>
          </w:p>
        </w:tc>
      </w:tr>
      <w:tr w:rsidR="00823CD1" w:rsidRPr="000A57E8" w:rsidTr="00E05748">
        <w:trPr>
          <w:trHeight w:val="1176"/>
        </w:trPr>
        <w:tc>
          <w:tcPr>
            <w:tcW w:w="1134" w:type="dxa"/>
          </w:tcPr>
          <w:p w:rsidR="00823CD1" w:rsidRPr="00823CD1" w:rsidRDefault="00823CD1" w:rsidP="004D236A">
            <w:pPr>
              <w:pStyle w:val="NoSpacing"/>
              <w:rPr>
                <w:rFonts w:ascii="Times New Roman" w:hAnsi="Times New Roman"/>
                <w:b/>
                <w:sz w:val="20"/>
                <w:szCs w:val="20"/>
                <w:lang w:val="en-US"/>
              </w:rPr>
            </w:pPr>
            <w:r>
              <w:rPr>
                <w:rFonts w:ascii="Times New Roman" w:hAnsi="Times New Roman"/>
                <w:b/>
                <w:sz w:val="20"/>
                <w:szCs w:val="20"/>
                <w:lang w:val="en-US"/>
              </w:rPr>
              <w:t>3</w:t>
            </w:r>
          </w:p>
        </w:tc>
        <w:tc>
          <w:tcPr>
            <w:tcW w:w="2694" w:type="dxa"/>
            <w:shd w:val="clear" w:color="auto" w:fill="auto"/>
          </w:tcPr>
          <w:p w:rsidR="00823CD1" w:rsidRPr="00823CD1" w:rsidRDefault="00823CD1" w:rsidP="004D236A">
            <w:pPr>
              <w:spacing w:after="150" w:line="240" w:lineRule="auto"/>
              <w:outlineLvl w:val="3"/>
              <w:rPr>
                <w:rFonts w:ascii="Times New Roman" w:hAnsi="Times New Roman"/>
                <w:sz w:val="20"/>
                <w:szCs w:val="20"/>
              </w:rPr>
            </w:pPr>
            <w:r>
              <w:rPr>
                <w:rFonts w:ascii="Times New Roman" w:hAnsi="Times New Roman"/>
                <w:sz w:val="20"/>
                <w:szCs w:val="20"/>
              </w:rPr>
              <w:t>Хинко</w:t>
            </w:r>
          </w:p>
        </w:tc>
        <w:tc>
          <w:tcPr>
            <w:tcW w:w="6945" w:type="dxa"/>
            <w:shd w:val="clear" w:color="auto" w:fill="auto"/>
          </w:tcPr>
          <w:p w:rsidR="00823CD1" w:rsidRPr="00823CD1" w:rsidRDefault="00823CD1" w:rsidP="00823CD1">
            <w:pPr>
              <w:pStyle w:val="Heading4"/>
              <w:spacing w:before="0"/>
              <w:jc w:val="both"/>
              <w:rPr>
                <w:rFonts w:ascii="Times New Roman" w:eastAsia="Times New Roman" w:hAnsi="Times New Roman" w:cs="Times New Roman"/>
                <w:i w:val="0"/>
                <w:color w:val="auto"/>
                <w:sz w:val="20"/>
                <w:szCs w:val="20"/>
              </w:rPr>
            </w:pPr>
            <w:r w:rsidRPr="00823CD1">
              <w:rPr>
                <w:rFonts w:ascii="Times New Roman" w:hAnsi="Times New Roman" w:cs="Times New Roman"/>
                <w:i w:val="0"/>
                <w:color w:val="auto"/>
                <w:sz w:val="20"/>
                <w:szCs w:val="20"/>
              </w:rPr>
              <w:t>Оправете пътищата, започнете да си вършите работата и тогава ревете за пари!</w:t>
            </w:r>
          </w:p>
          <w:p w:rsidR="00823CD1" w:rsidRPr="00823CD1" w:rsidRDefault="00823CD1" w:rsidP="00823CD1">
            <w:pPr>
              <w:pStyle w:val="NormalWeb"/>
              <w:spacing w:before="0" w:beforeAutospacing="0" w:after="0" w:afterAutospacing="0"/>
              <w:jc w:val="both"/>
              <w:rPr>
                <w:sz w:val="20"/>
                <w:szCs w:val="20"/>
              </w:rPr>
            </w:pPr>
            <w:r w:rsidRPr="00823CD1">
              <w:rPr>
                <w:sz w:val="20"/>
                <w:szCs w:val="20"/>
              </w:rPr>
              <w:t>От много години, състоянието на българските пътища е най-лошото в сравнение, с другите държави от Европа. Това не пречи, ние да плащаме най-много, за ползване на платената пътна мрежа, като заплащаме и втори клас пътища, нещо което не се практикува никъде другаде по света, освен в Брюксел. Поради състоянието на пътищата, ние плащаме поне двоен ТОЛ, един път като такси, втори път в сервизите, за ремонт на ходовата част, на нашите МПС. Въпреки тези факти, някой сега се сети, че малко плащаме и иска да ни увеличи таксите. Защо бре дами и господа държавни служители, защо искате да изсмучете още от кръвта на народа? Може би, за да може да плащате още повече, не само по 20 милиона евро на година, на чужда компания, за да управлява ТОЛ системата, понеже, Вие взимате заплати, но сте некъдърни да я упралявате? Или за да имате пари да смените 800 камери на ТОЛ системата, закупени само преди 5 години, но според Вас, станали вече "неефективни"?</w:t>
            </w:r>
            <w:r w:rsidRPr="00823CD1">
              <w:rPr>
                <w:sz w:val="20"/>
                <w:szCs w:val="20"/>
              </w:rPr>
              <w:br/>
            </w:r>
            <w:r w:rsidRPr="00823CD1">
              <w:rPr>
                <w:sz w:val="20"/>
                <w:szCs w:val="20"/>
              </w:rPr>
              <w:br/>
              <w:t>Вместо, да "доите" българския бизнес и българските граждани, вземете и си свършете работата, за която Ви плащаме заплати! Оправете си ситемата, започнете да я менажирате Вие, най-малкото за да няма съмнения, че някой краде от нея! Когато правите поръчки за техническо оборудване, поръчайте такова, което да издържи повече от 5 години, преди да се окаже, че е "неефективно" И след всичко това, може да разберете, че приходите от ТОЛ не са малки, но просто се управляват накадърно.</w:t>
            </w:r>
          </w:p>
          <w:p w:rsidR="00823CD1" w:rsidRPr="000A57E8" w:rsidRDefault="00823CD1" w:rsidP="00653C5D">
            <w:pPr>
              <w:pStyle w:val="NormalWeb"/>
              <w:spacing w:before="0" w:beforeAutospacing="0" w:after="120" w:afterAutospacing="0" w:line="210" w:lineRule="atLeast"/>
              <w:rPr>
                <w:color w:val="333333"/>
                <w:sz w:val="20"/>
                <w:szCs w:val="20"/>
              </w:rPr>
            </w:pPr>
          </w:p>
        </w:tc>
        <w:tc>
          <w:tcPr>
            <w:tcW w:w="1843" w:type="dxa"/>
            <w:shd w:val="clear" w:color="auto" w:fill="auto"/>
          </w:tcPr>
          <w:p w:rsidR="00823CD1" w:rsidRPr="000A57E8" w:rsidRDefault="00823CD1" w:rsidP="004D236A">
            <w:pPr>
              <w:pStyle w:val="NoSpacing"/>
              <w:ind w:right="-108"/>
              <w:jc w:val="center"/>
              <w:rPr>
                <w:rFonts w:ascii="Times New Roman" w:hAnsi="Times New Roman"/>
                <w:sz w:val="20"/>
                <w:szCs w:val="20"/>
              </w:rPr>
            </w:pPr>
            <w:r w:rsidRPr="000A57E8">
              <w:rPr>
                <w:rFonts w:ascii="Times New Roman" w:hAnsi="Times New Roman"/>
                <w:sz w:val="20"/>
                <w:szCs w:val="20"/>
              </w:rPr>
              <w:t xml:space="preserve">Не </w:t>
            </w:r>
            <w:r>
              <w:rPr>
                <w:rFonts w:ascii="Times New Roman" w:hAnsi="Times New Roman"/>
                <w:sz w:val="20"/>
                <w:szCs w:val="20"/>
              </w:rPr>
              <w:t xml:space="preserve">се </w:t>
            </w:r>
            <w:r w:rsidRPr="000A57E8">
              <w:rPr>
                <w:rFonts w:ascii="Times New Roman" w:hAnsi="Times New Roman"/>
                <w:sz w:val="20"/>
                <w:szCs w:val="20"/>
              </w:rPr>
              <w:t>приема предложението</w:t>
            </w:r>
          </w:p>
        </w:tc>
        <w:tc>
          <w:tcPr>
            <w:tcW w:w="3686" w:type="dxa"/>
            <w:shd w:val="clear" w:color="auto" w:fill="auto"/>
          </w:tcPr>
          <w:p w:rsidR="00823CD1" w:rsidRPr="000A57E8" w:rsidRDefault="00823CD1" w:rsidP="001A457D">
            <w:pPr>
              <w:jc w:val="both"/>
              <w:rPr>
                <w:rFonts w:ascii="Times New Roman" w:hAnsi="Times New Roman"/>
                <w:sz w:val="20"/>
                <w:szCs w:val="20"/>
              </w:rPr>
            </w:pPr>
            <w:r w:rsidRPr="000A57E8">
              <w:rPr>
                <w:rFonts w:ascii="Times New Roman" w:hAnsi="Times New Roman"/>
                <w:sz w:val="20"/>
                <w:szCs w:val="20"/>
              </w:rPr>
              <w:t xml:space="preserve">Направените </w:t>
            </w:r>
            <w:r w:rsidR="001A457D">
              <w:rPr>
                <w:rFonts w:ascii="Times New Roman" w:hAnsi="Times New Roman"/>
                <w:sz w:val="20"/>
                <w:szCs w:val="20"/>
              </w:rPr>
              <w:t xml:space="preserve">констатации </w:t>
            </w:r>
            <w:r w:rsidRPr="000A57E8">
              <w:rPr>
                <w:rFonts w:ascii="Times New Roman" w:hAnsi="Times New Roman"/>
                <w:sz w:val="20"/>
                <w:szCs w:val="20"/>
              </w:rPr>
              <w:t xml:space="preserve">нямат отношение към </w:t>
            </w:r>
            <w:r>
              <w:rPr>
                <w:rFonts w:ascii="Times New Roman" w:hAnsi="Times New Roman"/>
                <w:sz w:val="20"/>
                <w:szCs w:val="20"/>
              </w:rPr>
              <w:t>предложения за обсъждане</w:t>
            </w:r>
            <w:r w:rsidRPr="000A57E8">
              <w:rPr>
                <w:rFonts w:ascii="Times New Roman" w:hAnsi="Times New Roman"/>
                <w:sz w:val="20"/>
                <w:szCs w:val="20"/>
              </w:rPr>
              <w:t xml:space="preserve"> </w:t>
            </w:r>
            <w:r>
              <w:rPr>
                <w:rFonts w:ascii="Times New Roman" w:hAnsi="Times New Roman"/>
                <w:sz w:val="20"/>
                <w:szCs w:val="20"/>
              </w:rPr>
              <w:t xml:space="preserve">проект на </w:t>
            </w:r>
            <w:r w:rsidRPr="000A57E8">
              <w:rPr>
                <w:rFonts w:ascii="Times New Roman" w:hAnsi="Times New Roman"/>
                <w:sz w:val="20"/>
                <w:szCs w:val="20"/>
              </w:rPr>
              <w:t>акт.</w:t>
            </w:r>
          </w:p>
        </w:tc>
      </w:tr>
      <w:tr w:rsidR="00BB33D8" w:rsidRPr="000A57E8" w:rsidTr="00E05748">
        <w:trPr>
          <w:trHeight w:val="1176"/>
        </w:trPr>
        <w:tc>
          <w:tcPr>
            <w:tcW w:w="1134" w:type="dxa"/>
          </w:tcPr>
          <w:p w:rsidR="00BB33D8" w:rsidRPr="00BB33D8" w:rsidRDefault="00BB33D8" w:rsidP="004D236A">
            <w:pPr>
              <w:pStyle w:val="NoSpacing"/>
              <w:rPr>
                <w:rFonts w:ascii="Times New Roman" w:hAnsi="Times New Roman"/>
                <w:b/>
                <w:sz w:val="20"/>
                <w:szCs w:val="20"/>
              </w:rPr>
            </w:pPr>
            <w:r>
              <w:rPr>
                <w:rFonts w:ascii="Times New Roman" w:hAnsi="Times New Roman"/>
                <w:b/>
                <w:sz w:val="20"/>
                <w:szCs w:val="20"/>
              </w:rPr>
              <w:t>4</w:t>
            </w:r>
          </w:p>
        </w:tc>
        <w:tc>
          <w:tcPr>
            <w:tcW w:w="2694" w:type="dxa"/>
            <w:shd w:val="clear" w:color="auto" w:fill="auto"/>
          </w:tcPr>
          <w:p w:rsidR="00BB33D8" w:rsidRDefault="00BB33D8" w:rsidP="004D236A">
            <w:pPr>
              <w:spacing w:after="150" w:line="240" w:lineRule="auto"/>
              <w:outlineLvl w:val="3"/>
              <w:rPr>
                <w:rFonts w:ascii="Times New Roman" w:hAnsi="Times New Roman"/>
                <w:sz w:val="20"/>
                <w:szCs w:val="20"/>
              </w:rPr>
            </w:pPr>
            <w:r w:rsidRPr="00BB33D8">
              <w:rPr>
                <w:rFonts w:ascii="Times New Roman" w:hAnsi="Times New Roman"/>
                <w:sz w:val="20"/>
                <w:szCs w:val="20"/>
              </w:rPr>
              <w:t>Българско обединение на шофьорите (БОШ)</w:t>
            </w:r>
          </w:p>
        </w:tc>
        <w:tc>
          <w:tcPr>
            <w:tcW w:w="6945" w:type="dxa"/>
            <w:shd w:val="clear" w:color="auto" w:fill="auto"/>
          </w:tcPr>
          <w:p w:rsidR="00BB33D8" w:rsidRPr="00BB33D8" w:rsidRDefault="00BB33D8" w:rsidP="00BB33D8">
            <w:pPr>
              <w:pStyle w:val="Heading4"/>
              <w:jc w:val="both"/>
              <w:rPr>
                <w:rFonts w:ascii="Times New Roman" w:hAnsi="Times New Roman" w:cs="Times New Roman"/>
                <w:i w:val="0"/>
                <w:color w:val="auto"/>
                <w:sz w:val="20"/>
                <w:szCs w:val="20"/>
              </w:rPr>
            </w:pPr>
            <w:r>
              <w:rPr>
                <w:rFonts w:ascii="Times New Roman" w:hAnsi="Times New Roman" w:cs="Times New Roman"/>
                <w:i w:val="0"/>
                <w:color w:val="auto"/>
                <w:sz w:val="20"/>
                <w:szCs w:val="20"/>
              </w:rPr>
              <w:t>Уважаеми представители на МРРБ.</w:t>
            </w:r>
          </w:p>
          <w:p w:rsidR="00BB33D8" w:rsidRPr="00BB33D8" w:rsidRDefault="00BB33D8" w:rsidP="00BB33D8">
            <w:pPr>
              <w:pStyle w:val="Heading4"/>
              <w:jc w:val="both"/>
              <w:rPr>
                <w:rFonts w:ascii="Times New Roman" w:hAnsi="Times New Roman" w:cs="Times New Roman"/>
                <w:i w:val="0"/>
                <w:color w:val="auto"/>
                <w:sz w:val="20"/>
                <w:szCs w:val="20"/>
              </w:rPr>
            </w:pPr>
            <w:r w:rsidRPr="00BB33D8">
              <w:rPr>
                <w:rFonts w:ascii="Times New Roman" w:hAnsi="Times New Roman" w:cs="Times New Roman"/>
                <w:i w:val="0"/>
                <w:color w:val="auto"/>
                <w:sz w:val="20"/>
                <w:szCs w:val="20"/>
              </w:rPr>
              <w:t xml:space="preserve">Ние от Българско обединение на шофьорите, сме категорично против, предложените увеличения на винетките, за ППС до 3.5 тона, както и увеличението на ТОЛ-таксите за ППС над 3.5 тона. Според приложените мотиви, към предложението, ние виждаме само една тенденция, за изпълнение на увеличение на таксите, за преминаване през платената част, на РПМ, но не виждаме никъде да се споменава, за положителен ефект от тези действия, към заплащащите ТОЛ такси. На цялото общество е известно, че през последните 5 години, няма извършени капиталови разходи, за поддръжка и строителство на нови участъци, по РПМ, освен с дребни изключения.  </w:t>
            </w:r>
          </w:p>
          <w:p w:rsidR="00BB33D8" w:rsidRPr="00BB33D8" w:rsidRDefault="00BB33D8" w:rsidP="00BB33D8">
            <w:pPr>
              <w:pStyle w:val="Heading4"/>
              <w:jc w:val="both"/>
              <w:rPr>
                <w:rFonts w:ascii="Times New Roman" w:hAnsi="Times New Roman" w:cs="Times New Roman"/>
                <w:i w:val="0"/>
                <w:color w:val="auto"/>
                <w:sz w:val="20"/>
                <w:szCs w:val="20"/>
              </w:rPr>
            </w:pPr>
            <w:r w:rsidRPr="00BB33D8">
              <w:rPr>
                <w:rFonts w:ascii="Times New Roman" w:hAnsi="Times New Roman" w:cs="Times New Roman"/>
                <w:i w:val="0"/>
                <w:color w:val="auto"/>
                <w:sz w:val="20"/>
                <w:szCs w:val="20"/>
              </w:rPr>
              <w:t>С учудване слушаме и изявленията на министъра на регионалното развитие, който се опитва да ни убеди, че много превозвачи, злоупотребяват и не заплащат дължимия ТОЛ. Това се случва на фона, на продължаващото увеличение, на годишна база, на заплатени пътни такси, за ползване на РПМ.</w:t>
            </w:r>
          </w:p>
          <w:p w:rsidR="00BB33D8" w:rsidRPr="00823CD1" w:rsidRDefault="00BB33D8" w:rsidP="00BB33D8">
            <w:pPr>
              <w:pStyle w:val="Heading4"/>
              <w:spacing w:before="0"/>
              <w:jc w:val="both"/>
              <w:rPr>
                <w:rFonts w:ascii="Times New Roman" w:hAnsi="Times New Roman" w:cs="Times New Roman"/>
                <w:i w:val="0"/>
                <w:color w:val="auto"/>
                <w:sz w:val="20"/>
                <w:szCs w:val="20"/>
              </w:rPr>
            </w:pPr>
            <w:r w:rsidRPr="00BB33D8">
              <w:rPr>
                <w:rFonts w:ascii="Times New Roman" w:hAnsi="Times New Roman" w:cs="Times New Roman"/>
                <w:i w:val="0"/>
                <w:color w:val="auto"/>
                <w:sz w:val="20"/>
                <w:szCs w:val="20"/>
              </w:rPr>
              <w:t>Госпожи и господа, призоваваме Ви, да започнете да си вършите съвестно и експертно работата, за която получавате възнаграждение и вместо да действате, по подобие на чужда вражеска сила, целяща създаване на нестабилност в българската икономика и изкуствено увеличение на инфлацията, да предприемете действия в интерес на българския народ.</w:t>
            </w:r>
          </w:p>
        </w:tc>
        <w:tc>
          <w:tcPr>
            <w:tcW w:w="1843" w:type="dxa"/>
            <w:shd w:val="clear" w:color="auto" w:fill="auto"/>
          </w:tcPr>
          <w:p w:rsidR="00BB33D8" w:rsidRPr="000A57E8" w:rsidRDefault="00BB33D8" w:rsidP="004D236A">
            <w:pPr>
              <w:pStyle w:val="NoSpacing"/>
              <w:ind w:right="-108"/>
              <w:jc w:val="center"/>
              <w:rPr>
                <w:rFonts w:ascii="Times New Roman" w:hAnsi="Times New Roman"/>
                <w:sz w:val="20"/>
                <w:szCs w:val="20"/>
              </w:rPr>
            </w:pPr>
            <w:r w:rsidRPr="00BB33D8">
              <w:rPr>
                <w:rFonts w:ascii="Times New Roman" w:hAnsi="Times New Roman"/>
                <w:sz w:val="20"/>
                <w:szCs w:val="20"/>
              </w:rPr>
              <w:t>Не се приема предложението</w:t>
            </w:r>
          </w:p>
        </w:tc>
        <w:tc>
          <w:tcPr>
            <w:tcW w:w="3686" w:type="dxa"/>
            <w:shd w:val="clear" w:color="auto" w:fill="auto"/>
          </w:tcPr>
          <w:p w:rsidR="00301178" w:rsidRDefault="000619CE" w:rsidP="003D0FFA">
            <w:pPr>
              <w:jc w:val="both"/>
              <w:rPr>
                <w:rFonts w:ascii="Times New Roman" w:hAnsi="Times New Roman"/>
                <w:sz w:val="20"/>
                <w:szCs w:val="20"/>
              </w:rPr>
            </w:pPr>
            <w:r>
              <w:rPr>
                <w:rFonts w:ascii="Times New Roman" w:hAnsi="Times New Roman"/>
                <w:sz w:val="20"/>
                <w:szCs w:val="20"/>
              </w:rPr>
              <w:t>Изграждан</w:t>
            </w:r>
            <w:r w:rsidR="00B908BE">
              <w:rPr>
                <w:rFonts w:ascii="Times New Roman" w:hAnsi="Times New Roman"/>
                <w:sz w:val="20"/>
                <w:szCs w:val="20"/>
              </w:rPr>
              <w:t>ето на нови пътища се финансира</w:t>
            </w:r>
            <w:r>
              <w:rPr>
                <w:rFonts w:ascii="Times New Roman" w:hAnsi="Times New Roman"/>
                <w:sz w:val="20"/>
                <w:szCs w:val="20"/>
              </w:rPr>
              <w:t xml:space="preserve"> с капиталови разходи, докато събраните пътни такси (винетни, тол) се влагат за поддържането на РПМ.</w:t>
            </w:r>
          </w:p>
          <w:p w:rsidR="000619CE" w:rsidRPr="000A57E8" w:rsidRDefault="005F700F" w:rsidP="003D0FFA">
            <w:pPr>
              <w:jc w:val="both"/>
              <w:rPr>
                <w:rFonts w:ascii="Times New Roman" w:hAnsi="Times New Roman"/>
                <w:sz w:val="20"/>
                <w:szCs w:val="20"/>
              </w:rPr>
            </w:pPr>
            <w:r>
              <w:rPr>
                <w:rFonts w:ascii="Times New Roman" w:hAnsi="Times New Roman"/>
                <w:sz w:val="20"/>
                <w:szCs w:val="20"/>
              </w:rPr>
              <w:t>Направените констатации</w:t>
            </w:r>
            <w:r w:rsidR="000619CE" w:rsidRPr="000619CE">
              <w:rPr>
                <w:rFonts w:ascii="Times New Roman" w:hAnsi="Times New Roman"/>
                <w:sz w:val="20"/>
                <w:szCs w:val="20"/>
              </w:rPr>
              <w:t xml:space="preserve"> нямат отношение към предложения за обсъждане проект на акт.</w:t>
            </w:r>
          </w:p>
        </w:tc>
      </w:tr>
      <w:tr w:rsidR="00E05748" w:rsidRPr="000A57E8" w:rsidTr="00E05748">
        <w:trPr>
          <w:trHeight w:val="1176"/>
        </w:trPr>
        <w:tc>
          <w:tcPr>
            <w:tcW w:w="1134" w:type="dxa"/>
          </w:tcPr>
          <w:p w:rsidR="00E05748" w:rsidRDefault="00E05748" w:rsidP="004D236A">
            <w:pPr>
              <w:pStyle w:val="NoSpacing"/>
              <w:rPr>
                <w:rFonts w:ascii="Times New Roman" w:hAnsi="Times New Roman"/>
                <w:b/>
                <w:sz w:val="20"/>
                <w:szCs w:val="20"/>
              </w:rPr>
            </w:pPr>
            <w:r>
              <w:rPr>
                <w:rFonts w:ascii="Times New Roman" w:hAnsi="Times New Roman"/>
                <w:b/>
                <w:sz w:val="20"/>
                <w:szCs w:val="20"/>
              </w:rPr>
              <w:t>5</w:t>
            </w:r>
          </w:p>
        </w:tc>
        <w:tc>
          <w:tcPr>
            <w:tcW w:w="2694" w:type="dxa"/>
            <w:shd w:val="clear" w:color="auto" w:fill="auto"/>
          </w:tcPr>
          <w:p w:rsidR="00E05748" w:rsidRPr="00E05748" w:rsidRDefault="00A020E3" w:rsidP="00E05748">
            <w:pPr>
              <w:spacing w:after="150" w:line="240" w:lineRule="auto"/>
              <w:outlineLvl w:val="3"/>
              <w:rPr>
                <w:rFonts w:ascii="Times New Roman" w:hAnsi="Times New Roman"/>
                <w:sz w:val="20"/>
                <w:szCs w:val="20"/>
              </w:rPr>
            </w:pPr>
            <w:r>
              <w:rPr>
                <w:rFonts w:ascii="Times New Roman" w:hAnsi="Times New Roman"/>
                <w:sz w:val="20"/>
                <w:szCs w:val="20"/>
              </w:rPr>
              <w:t>АСОЦИАЦИЯ НА БЪЛГАРСКИТЕ ПРЕДПРИЯТИЯ ЗА МЕЖДУНАРОДНИ</w:t>
            </w:r>
            <w:r w:rsidR="00E05748" w:rsidRPr="00E05748">
              <w:rPr>
                <w:rFonts w:ascii="Times New Roman" w:hAnsi="Times New Roman"/>
                <w:sz w:val="20"/>
                <w:szCs w:val="20"/>
              </w:rPr>
              <w:t>ПРЕВОЗИ И ПЪТИЩА (АЕБТРИ)</w:t>
            </w:r>
          </w:p>
          <w:p w:rsidR="00E05748" w:rsidRPr="00E05748" w:rsidRDefault="00E05748" w:rsidP="00E05748">
            <w:pPr>
              <w:spacing w:after="150" w:line="240" w:lineRule="auto"/>
              <w:outlineLvl w:val="3"/>
              <w:rPr>
                <w:rFonts w:ascii="Times New Roman" w:hAnsi="Times New Roman"/>
                <w:sz w:val="20"/>
                <w:szCs w:val="20"/>
              </w:rPr>
            </w:pPr>
            <w:r w:rsidRPr="00E05748">
              <w:rPr>
                <w:rFonts w:ascii="Times New Roman" w:hAnsi="Times New Roman"/>
                <w:sz w:val="20"/>
                <w:szCs w:val="20"/>
              </w:rPr>
              <w:t>ЕВРОПЕЙСКИ ТРАНСПОРТЕН КЛЪСТЕР</w:t>
            </w:r>
          </w:p>
          <w:p w:rsidR="00E05748" w:rsidRPr="00BB33D8" w:rsidRDefault="00A020E3" w:rsidP="00A020E3">
            <w:pPr>
              <w:spacing w:after="150" w:line="240" w:lineRule="auto"/>
              <w:outlineLvl w:val="3"/>
              <w:rPr>
                <w:rFonts w:ascii="Times New Roman" w:hAnsi="Times New Roman"/>
                <w:sz w:val="20"/>
                <w:szCs w:val="20"/>
              </w:rPr>
            </w:pPr>
            <w:r>
              <w:rPr>
                <w:rFonts w:ascii="Times New Roman" w:hAnsi="Times New Roman"/>
                <w:sz w:val="20"/>
                <w:szCs w:val="20"/>
              </w:rPr>
              <w:t>КАМАРА НА АВТОМОБИЛНИТЕ</w:t>
            </w:r>
            <w:r w:rsidRPr="00A020E3">
              <w:rPr>
                <w:rFonts w:ascii="Times New Roman" w:hAnsi="Times New Roman"/>
                <w:sz w:val="20"/>
                <w:szCs w:val="20"/>
              </w:rPr>
              <w:t>ПРЕВОЗВАЧИ В БЪЛГАРИЯ</w:t>
            </w:r>
          </w:p>
        </w:tc>
        <w:tc>
          <w:tcPr>
            <w:tcW w:w="6945" w:type="dxa"/>
            <w:shd w:val="clear" w:color="auto" w:fill="auto"/>
          </w:tcPr>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ДО</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МИНИСТЪР-ПРЕДСЕДАТЕЛЯ НА РЕПУБЛИКА БЪЛГАРИЯ</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МИНИСТЪРА НА ТРАНСПОРТА И СЪОБЩЕНИЯТА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МИНИСТЪРА НА РЕГИОНАЛНОТО РАЗВИТИЕ И БЛАГОУСТРОЙСТВОТО</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НАРОДНИТЕ ПРЕДСТАВИТЕЛИ</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МЕДИИТЕ</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ОТВОРЕНО ПИСМО</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Относно: Обявяване на протест срещу липсата на транспортна политика и</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повишаването на тол таксите в България</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УВАЖАЕМИ ГОСПОДИН ЖЕЛЯЗКОВ,</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УВАЖАЕМИ ГОСПОДИН КАРАДЖОВ,</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УВАЖАЕМИ ГОСПОДИН ИВАНОВ,</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УВАЖАЕМИ ГОСПОЖИ И ГОСПОДА НАРОДНИ ПРЕДСТАВИТЕЛИ,</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УВАЖАЕМИ БЪЛГАРСКИ ГРАЖДАНИ,</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Ние, представителите на транспортния бранш в България, категорично се</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противопоставяме на планираното увеличение на тол таксите и обявяваме</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национална протестна готовност срещу тази несправедлива и необоснована мярка.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Тя е категорично нелогична, особено на фона на неработещата тол система, лошия</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контрол, зле поддържаната и липсваща инфраструктура, неефективната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събираемост и отсъствието на транспортна политика.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Адмирираме приетите действия за справяне с нарушителите, но не можем</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да приемем още преди да сме видели резултатите от тях да се товарят изрядните</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превозвачи с допълнителни такси. Липсва логика в това да се увеличават цените</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за тези, които спазват закона. Дали целта на държавата е да превърне изрядните</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в нарушители?</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От години държавата не успява да насочи тежестта на тол облагането към</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транзитния трафик – практика, която е стандартна в цяла Европа. Напротив, в</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България най-ощетени се оказват българските превозвачи, което създава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изключително неблагоприятни условия за сектора. В нито една европейска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държава подобен модел не се прилага, а у нас той продължава да бъде налаган,</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въпреки многократните сигнали от бизнеса. Ярък пример за това е облагането на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цялата второкласна пътна мрежа с тол такси.</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Заявените намерения на държавата за цялостната пътнотранспортна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политика в страната будят аргументирани притеснения в бранша. Основание за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този скептицизъм е фактът, че ключови фигури, които днес отговарят за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транспортния сектор, преди това са заемали водещи позиции в Министерството на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регионалното развитие и благоустройството. Те вече имаха възможността да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докажат своите намерения и разполагаха с всички механизми за промяна, но това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не се случи. Затова всички обещания сега трябва да бъдат разглеждани с повишено</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внимание, докато не видим реални действия и ефективни резултати.</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През годините сме предлагали редица работещи решения, сред които:</w:t>
            </w:r>
          </w:p>
          <w:p w:rsidR="00E05748" w:rsidRPr="00A020E3" w:rsidRDefault="00E05748" w:rsidP="00C038E1">
            <w:pPr>
              <w:pStyle w:val="Heading4"/>
              <w:jc w:val="both"/>
              <w:rPr>
                <w:rFonts w:ascii="Times New Roman" w:hAnsi="Times New Roman" w:cs="Times New Roman"/>
                <w:b/>
                <w:i w:val="0"/>
                <w:color w:val="auto"/>
                <w:sz w:val="20"/>
                <w:szCs w:val="20"/>
                <w:u w:val="single"/>
              </w:rPr>
            </w:pPr>
            <w:r w:rsidRPr="00A020E3">
              <w:rPr>
                <w:rFonts w:ascii="Times New Roman" w:hAnsi="Times New Roman" w:cs="Times New Roman"/>
                <w:b/>
                <w:i w:val="0"/>
                <w:color w:val="auto"/>
                <w:sz w:val="20"/>
                <w:szCs w:val="20"/>
                <w:u w:val="single"/>
              </w:rPr>
              <w:t>● Въвеждане на отстъпки за превозвачите на база изминато разстояние;</w:t>
            </w:r>
          </w:p>
          <w:p w:rsidR="00E05748" w:rsidRPr="00A020E3" w:rsidRDefault="00E05748" w:rsidP="00C038E1">
            <w:pPr>
              <w:pStyle w:val="Heading4"/>
              <w:jc w:val="both"/>
              <w:rPr>
                <w:rFonts w:ascii="Times New Roman" w:hAnsi="Times New Roman" w:cs="Times New Roman"/>
                <w:b/>
                <w:i w:val="0"/>
                <w:color w:val="auto"/>
                <w:sz w:val="20"/>
                <w:szCs w:val="20"/>
                <w:u w:val="single"/>
              </w:rPr>
            </w:pPr>
            <w:r w:rsidRPr="00A020E3">
              <w:rPr>
                <w:rFonts w:ascii="Times New Roman" w:hAnsi="Times New Roman" w:cs="Times New Roman"/>
                <w:b/>
                <w:i w:val="0"/>
                <w:color w:val="auto"/>
                <w:sz w:val="20"/>
                <w:szCs w:val="20"/>
                <w:u w:val="single"/>
              </w:rPr>
              <w:t>● Облагане на тол таксите с ДДС;</w:t>
            </w:r>
          </w:p>
          <w:p w:rsidR="00E05748" w:rsidRPr="00A020E3" w:rsidRDefault="00E05748" w:rsidP="00C038E1">
            <w:pPr>
              <w:pStyle w:val="Heading4"/>
              <w:jc w:val="both"/>
              <w:rPr>
                <w:rFonts w:ascii="Times New Roman" w:hAnsi="Times New Roman" w:cs="Times New Roman"/>
                <w:b/>
                <w:i w:val="0"/>
                <w:color w:val="auto"/>
                <w:sz w:val="20"/>
                <w:szCs w:val="20"/>
                <w:u w:val="single"/>
              </w:rPr>
            </w:pPr>
            <w:r w:rsidRPr="00A020E3">
              <w:rPr>
                <w:rFonts w:ascii="Times New Roman" w:hAnsi="Times New Roman" w:cs="Times New Roman"/>
                <w:b/>
                <w:i w:val="0"/>
                <w:color w:val="auto"/>
                <w:sz w:val="20"/>
                <w:szCs w:val="20"/>
                <w:u w:val="single"/>
              </w:rPr>
              <w:t>● Забрани за преминаване на транзитен трафик по второкласните пътища, с</w:t>
            </w:r>
            <w:r w:rsidR="00C038E1">
              <w:rPr>
                <w:rFonts w:ascii="Times New Roman" w:hAnsi="Times New Roman" w:cs="Times New Roman"/>
                <w:b/>
                <w:i w:val="0"/>
                <w:color w:val="auto"/>
                <w:sz w:val="20"/>
                <w:szCs w:val="20"/>
                <w:u w:val="single"/>
              </w:rPr>
              <w:t xml:space="preserve"> </w:t>
            </w:r>
            <w:r w:rsidRPr="00A020E3">
              <w:rPr>
                <w:rFonts w:ascii="Times New Roman" w:hAnsi="Times New Roman" w:cs="Times New Roman"/>
                <w:b/>
                <w:i w:val="0"/>
                <w:color w:val="auto"/>
                <w:sz w:val="20"/>
                <w:szCs w:val="20"/>
                <w:u w:val="single"/>
              </w:rPr>
              <w:t>изключение на частта от международните коридори, и ревизиране на обхвата</w:t>
            </w:r>
            <w:r w:rsidR="00C038E1">
              <w:rPr>
                <w:rFonts w:ascii="Times New Roman" w:hAnsi="Times New Roman" w:cs="Times New Roman"/>
                <w:b/>
                <w:i w:val="0"/>
                <w:color w:val="auto"/>
                <w:sz w:val="20"/>
                <w:szCs w:val="20"/>
                <w:u w:val="single"/>
              </w:rPr>
              <w:t xml:space="preserve"> </w:t>
            </w:r>
            <w:r w:rsidRPr="00A020E3">
              <w:rPr>
                <w:rFonts w:ascii="Times New Roman" w:hAnsi="Times New Roman" w:cs="Times New Roman"/>
                <w:b/>
                <w:i w:val="0"/>
                <w:color w:val="auto"/>
                <w:sz w:val="20"/>
                <w:szCs w:val="20"/>
                <w:u w:val="single"/>
              </w:rPr>
              <w:t>на тол системата и др.</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Въпреки това нито едно от тези предложения не беше разгледано по</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същество и прието.</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ИСКАНИЯТА НИ СА: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 13% от събраните пътни такси за предходната година да бъдат отделяни в</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ежегодна програма за превозвачи. С тези средства да се възстанови поне</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част от баланса в непропорционално разпределената тежест между</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български и чуждестранни превозвачи;</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 Прецизиране на отсечките от второкласните пътища в страната, които са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част от коридорите на международния трафик и се налага да останат в</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обхвата на платената пътна мрежа;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 Прекратяване на практиката за налагане на санкции за несъществуващи</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нарушения, които остават изцяло в тежест на превозвачите и не могат да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бъдат калкулирани към крайния потребител;</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 Участие в осъществявания контрол по пътищата с цел гарантиране на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принципите на правовата държава;</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 Изпълняване на поетите на 25.01.2025 г. ангажименти към бранша от</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министър Караджов по време на единствената към момента проведена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среща, като облекчаване на процедурата за наемане на водачи от трети</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страни, премахване на таксите за дезинфекции по ГКПП на страната,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разширяване на капацитета на ГКПП с Република Турция и др.</w:t>
            </w:r>
          </w:p>
          <w:p w:rsidR="00E05748" w:rsidRPr="00E05748" w:rsidRDefault="00E05748" w:rsidP="00C038E1">
            <w:pPr>
              <w:pStyle w:val="Heading4"/>
              <w:jc w:val="both"/>
              <w:rPr>
                <w:rFonts w:ascii="Times New Roman" w:hAnsi="Times New Roman" w:cs="Times New Roman"/>
                <w:i w:val="0"/>
                <w:color w:val="auto"/>
                <w:sz w:val="20"/>
                <w:szCs w:val="20"/>
              </w:rPr>
            </w:pPr>
            <w:r w:rsidRPr="00E05748">
              <w:rPr>
                <w:rFonts w:ascii="Times New Roman" w:hAnsi="Times New Roman" w:cs="Times New Roman"/>
                <w:i w:val="0"/>
                <w:color w:val="auto"/>
                <w:sz w:val="20"/>
                <w:szCs w:val="20"/>
              </w:rPr>
              <w:t>Нашият протест не цели да разклати държавата в сложната политическа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обстановка, но е крайно време да потърсим правата си срещу безхаберието и</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липсата на реформи в транспортната политика на България. Настояваме за</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справедливост и ефективни решения, които да защитят българския транспортен</w:t>
            </w:r>
            <w:r w:rsidR="00C038E1">
              <w:rPr>
                <w:rFonts w:ascii="Times New Roman" w:hAnsi="Times New Roman" w:cs="Times New Roman"/>
                <w:i w:val="0"/>
                <w:color w:val="auto"/>
                <w:sz w:val="20"/>
                <w:szCs w:val="20"/>
              </w:rPr>
              <w:t xml:space="preserve"> </w:t>
            </w:r>
            <w:r w:rsidRPr="00E05748">
              <w:rPr>
                <w:rFonts w:ascii="Times New Roman" w:hAnsi="Times New Roman" w:cs="Times New Roman"/>
                <w:i w:val="0"/>
                <w:color w:val="auto"/>
                <w:sz w:val="20"/>
                <w:szCs w:val="20"/>
              </w:rPr>
              <w:t>сектор и да осигурят устойчиво развитие за всички засегнати страни.</w:t>
            </w:r>
          </w:p>
          <w:p w:rsidR="00E05748" w:rsidRDefault="00E05748" w:rsidP="00E05748">
            <w:pPr>
              <w:pStyle w:val="Heading4"/>
              <w:jc w:val="both"/>
              <w:rPr>
                <w:rFonts w:ascii="Times New Roman" w:hAnsi="Times New Roman" w:cs="Times New Roman"/>
                <w:i w:val="0"/>
                <w:color w:val="auto"/>
                <w:sz w:val="20"/>
                <w:szCs w:val="20"/>
              </w:rPr>
            </w:pPr>
          </w:p>
        </w:tc>
        <w:tc>
          <w:tcPr>
            <w:tcW w:w="1843" w:type="dxa"/>
            <w:shd w:val="clear" w:color="auto" w:fill="auto"/>
          </w:tcPr>
          <w:p w:rsidR="00E05748" w:rsidRPr="00BB33D8" w:rsidRDefault="00A020E3" w:rsidP="004D236A">
            <w:pPr>
              <w:pStyle w:val="NoSpacing"/>
              <w:ind w:right="-108"/>
              <w:jc w:val="center"/>
              <w:rPr>
                <w:rFonts w:ascii="Times New Roman" w:hAnsi="Times New Roman"/>
                <w:sz w:val="20"/>
                <w:szCs w:val="20"/>
              </w:rPr>
            </w:pPr>
            <w:r>
              <w:rPr>
                <w:rFonts w:ascii="Times New Roman" w:hAnsi="Times New Roman"/>
                <w:sz w:val="20"/>
                <w:szCs w:val="20"/>
              </w:rPr>
              <w:t>Не се приема предложението</w:t>
            </w:r>
          </w:p>
        </w:tc>
        <w:tc>
          <w:tcPr>
            <w:tcW w:w="3686" w:type="dxa"/>
            <w:shd w:val="clear" w:color="auto" w:fill="auto"/>
          </w:tcPr>
          <w:p w:rsidR="00A020E3" w:rsidRDefault="00A020E3" w:rsidP="00AA1F31">
            <w:pPr>
              <w:spacing w:before="240"/>
              <w:jc w:val="both"/>
              <w:rPr>
                <w:rFonts w:ascii="Times New Roman" w:hAnsi="Times New Roman"/>
                <w:sz w:val="20"/>
                <w:szCs w:val="20"/>
              </w:rPr>
            </w:pPr>
            <w:r>
              <w:rPr>
                <w:rFonts w:ascii="Times New Roman" w:hAnsi="Times New Roman"/>
                <w:sz w:val="20"/>
                <w:szCs w:val="20"/>
              </w:rPr>
              <w:t xml:space="preserve">Предложението за: </w:t>
            </w:r>
          </w:p>
          <w:p w:rsidR="00A020E3" w:rsidRDefault="00A020E3" w:rsidP="00AA1F31">
            <w:pPr>
              <w:spacing w:after="0"/>
              <w:jc w:val="both"/>
              <w:rPr>
                <w:rFonts w:ascii="Times New Roman" w:hAnsi="Times New Roman"/>
                <w:sz w:val="20"/>
                <w:szCs w:val="20"/>
              </w:rPr>
            </w:pPr>
            <w:r>
              <w:rPr>
                <w:rFonts w:ascii="Times New Roman" w:hAnsi="Times New Roman"/>
                <w:sz w:val="20"/>
                <w:szCs w:val="20"/>
              </w:rPr>
              <w:t xml:space="preserve">1. </w:t>
            </w:r>
            <w:r w:rsidRPr="00A020E3">
              <w:rPr>
                <w:rFonts w:ascii="Times New Roman" w:hAnsi="Times New Roman"/>
                <w:sz w:val="20"/>
                <w:szCs w:val="20"/>
              </w:rPr>
              <w:t>Въвеждане на отстъпки за превозвач</w:t>
            </w:r>
            <w:r>
              <w:rPr>
                <w:rFonts w:ascii="Times New Roman" w:hAnsi="Times New Roman"/>
                <w:sz w:val="20"/>
                <w:szCs w:val="20"/>
              </w:rPr>
              <w:t>ите на база изминато разстояние</w:t>
            </w:r>
            <w:r w:rsidR="00AA1F31">
              <w:rPr>
                <w:rFonts w:ascii="Times New Roman" w:hAnsi="Times New Roman"/>
                <w:sz w:val="20"/>
                <w:szCs w:val="20"/>
              </w:rPr>
              <w:t xml:space="preserve"> -</w:t>
            </w:r>
            <w:r>
              <w:rPr>
                <w:rFonts w:ascii="Times New Roman" w:hAnsi="Times New Roman"/>
                <w:sz w:val="20"/>
                <w:szCs w:val="20"/>
              </w:rPr>
              <w:t xml:space="preserve"> противоречи на двата фундаментални принципа на таксовата политика н</w:t>
            </w:r>
            <w:r w:rsidR="00AA1F31">
              <w:rPr>
                <w:rFonts w:ascii="Times New Roman" w:hAnsi="Times New Roman"/>
                <w:sz w:val="20"/>
                <w:szCs w:val="20"/>
              </w:rPr>
              <w:t xml:space="preserve">а ЕС в областта на </w:t>
            </w:r>
            <w:r w:rsidR="00F90C44">
              <w:rPr>
                <w:rFonts w:ascii="Times New Roman" w:hAnsi="Times New Roman"/>
                <w:sz w:val="20"/>
                <w:szCs w:val="20"/>
              </w:rPr>
              <w:t>за</w:t>
            </w:r>
            <w:r w:rsidR="00C038E1">
              <w:rPr>
                <w:rFonts w:ascii="Times New Roman" w:hAnsi="Times New Roman"/>
                <w:sz w:val="20"/>
                <w:szCs w:val="20"/>
              </w:rPr>
              <w:t>паз</w:t>
            </w:r>
            <w:r w:rsidR="00AA1F31">
              <w:rPr>
                <w:rFonts w:ascii="Times New Roman" w:hAnsi="Times New Roman"/>
                <w:sz w:val="20"/>
                <w:szCs w:val="20"/>
              </w:rPr>
              <w:t xml:space="preserve">ването на пътната </w:t>
            </w:r>
            <w:r>
              <w:rPr>
                <w:rFonts w:ascii="Times New Roman" w:hAnsi="Times New Roman"/>
                <w:sz w:val="20"/>
                <w:szCs w:val="20"/>
              </w:rPr>
              <w:t>инфраструктура</w:t>
            </w:r>
            <w:r w:rsidR="00AA1F31">
              <w:rPr>
                <w:rFonts w:ascii="Times New Roman" w:hAnsi="Times New Roman"/>
                <w:sz w:val="20"/>
                <w:szCs w:val="20"/>
              </w:rPr>
              <w:t xml:space="preserve"> </w:t>
            </w:r>
            <w:r>
              <w:rPr>
                <w:rFonts w:ascii="Times New Roman" w:hAnsi="Times New Roman"/>
                <w:sz w:val="20"/>
                <w:szCs w:val="20"/>
              </w:rPr>
              <w:t>„Разрушителят плаща“ и „Замърсителят плаща“;</w:t>
            </w:r>
          </w:p>
          <w:p w:rsidR="00A020E3" w:rsidRDefault="00A020E3" w:rsidP="00AA1F31">
            <w:pPr>
              <w:jc w:val="both"/>
              <w:rPr>
                <w:rFonts w:ascii="Times New Roman" w:hAnsi="Times New Roman"/>
                <w:sz w:val="20"/>
                <w:szCs w:val="20"/>
              </w:rPr>
            </w:pPr>
            <w:r>
              <w:rPr>
                <w:rFonts w:ascii="Times New Roman" w:hAnsi="Times New Roman"/>
                <w:sz w:val="20"/>
                <w:szCs w:val="20"/>
              </w:rPr>
              <w:t xml:space="preserve">2. </w:t>
            </w:r>
            <w:r w:rsidR="00FE3091">
              <w:rPr>
                <w:rFonts w:ascii="Times New Roman" w:hAnsi="Times New Roman"/>
                <w:sz w:val="20"/>
                <w:szCs w:val="20"/>
              </w:rPr>
              <w:t xml:space="preserve">Винетните такси и тол </w:t>
            </w:r>
            <w:r>
              <w:rPr>
                <w:rFonts w:ascii="Times New Roman" w:hAnsi="Times New Roman"/>
                <w:sz w:val="20"/>
                <w:szCs w:val="20"/>
              </w:rPr>
              <w:t>такси</w:t>
            </w:r>
            <w:r w:rsidR="00FE3091">
              <w:rPr>
                <w:rFonts w:ascii="Times New Roman" w:hAnsi="Times New Roman"/>
                <w:sz w:val="20"/>
                <w:szCs w:val="20"/>
              </w:rPr>
              <w:t xml:space="preserve">те </w:t>
            </w:r>
            <w:r>
              <w:rPr>
                <w:rFonts w:ascii="Times New Roman" w:hAnsi="Times New Roman"/>
                <w:sz w:val="20"/>
                <w:szCs w:val="20"/>
              </w:rPr>
              <w:t xml:space="preserve">не </w:t>
            </w:r>
            <w:r w:rsidR="00037C25">
              <w:rPr>
                <w:rFonts w:ascii="Times New Roman" w:hAnsi="Times New Roman"/>
                <w:sz w:val="20"/>
                <w:szCs w:val="20"/>
              </w:rPr>
              <w:t>подлежат</w:t>
            </w:r>
            <w:r w:rsidR="00C038E1">
              <w:rPr>
                <w:rFonts w:ascii="Times New Roman" w:hAnsi="Times New Roman"/>
                <w:sz w:val="20"/>
                <w:szCs w:val="20"/>
              </w:rPr>
              <w:t xml:space="preserve"> </w:t>
            </w:r>
            <w:r>
              <w:rPr>
                <w:rFonts w:ascii="Times New Roman" w:hAnsi="Times New Roman"/>
                <w:sz w:val="20"/>
                <w:szCs w:val="20"/>
              </w:rPr>
              <w:t>на</w:t>
            </w:r>
            <w:r w:rsidR="00C038E1">
              <w:rPr>
                <w:rFonts w:ascii="Times New Roman" w:hAnsi="Times New Roman"/>
                <w:sz w:val="20"/>
                <w:szCs w:val="20"/>
              </w:rPr>
              <w:t xml:space="preserve"> облагане с</w:t>
            </w:r>
            <w:r w:rsidR="00FE3091">
              <w:rPr>
                <w:rFonts w:ascii="Times New Roman" w:hAnsi="Times New Roman"/>
                <w:sz w:val="20"/>
                <w:szCs w:val="20"/>
              </w:rPr>
              <w:t xml:space="preserve"> ДДС съгласно Закона за данък върху добавената стойност.</w:t>
            </w:r>
          </w:p>
          <w:p w:rsidR="00A020E3" w:rsidRDefault="00A020E3" w:rsidP="003D0FFA">
            <w:pPr>
              <w:jc w:val="both"/>
              <w:rPr>
                <w:rFonts w:ascii="Times New Roman" w:hAnsi="Times New Roman"/>
                <w:sz w:val="20"/>
                <w:szCs w:val="20"/>
              </w:rPr>
            </w:pPr>
          </w:p>
        </w:tc>
      </w:tr>
    </w:tbl>
    <w:p w:rsidR="008D0BBD" w:rsidRPr="000A57E8" w:rsidRDefault="008D0BBD" w:rsidP="008D0BBD">
      <w:pPr>
        <w:pStyle w:val="NoSpacing"/>
        <w:spacing w:line="276" w:lineRule="auto"/>
        <w:rPr>
          <w:rFonts w:ascii="Times New Roman" w:hAnsi="Times New Roman"/>
          <w:color w:val="FF0000"/>
          <w:sz w:val="20"/>
          <w:szCs w:val="20"/>
        </w:rPr>
      </w:pPr>
    </w:p>
    <w:p w:rsidR="001054D8" w:rsidRPr="000A57E8" w:rsidRDefault="001054D8" w:rsidP="008D0BBD">
      <w:pPr>
        <w:pStyle w:val="NoSpacing"/>
        <w:spacing w:line="276" w:lineRule="auto"/>
        <w:rPr>
          <w:rFonts w:ascii="Times New Roman" w:hAnsi="Times New Roman"/>
          <w:b/>
          <w:sz w:val="20"/>
          <w:szCs w:val="20"/>
        </w:rPr>
      </w:pPr>
      <w:r w:rsidRPr="000A57E8">
        <w:rPr>
          <w:rFonts w:ascii="Times New Roman" w:hAnsi="Times New Roman"/>
          <w:b/>
          <w:sz w:val="20"/>
          <w:szCs w:val="20"/>
        </w:rPr>
        <w:t xml:space="preserve">                                                                                                                                                                                                                                      </w:t>
      </w:r>
    </w:p>
    <w:p w:rsidR="008D0BBD" w:rsidRPr="000A57E8" w:rsidRDefault="001054D8" w:rsidP="001054D8">
      <w:pPr>
        <w:pStyle w:val="NoSpacing"/>
        <w:spacing w:line="276" w:lineRule="auto"/>
        <w:jc w:val="center"/>
        <w:rPr>
          <w:rFonts w:ascii="Times New Roman" w:hAnsi="Times New Roman"/>
          <w:color w:val="FF0000"/>
          <w:sz w:val="20"/>
          <w:szCs w:val="20"/>
        </w:rPr>
      </w:pPr>
      <w:r w:rsidRPr="000A57E8">
        <w:rPr>
          <w:rFonts w:ascii="Times New Roman" w:hAnsi="Times New Roman"/>
          <w:b/>
          <w:sz w:val="20"/>
          <w:szCs w:val="20"/>
        </w:rPr>
        <w:t xml:space="preserve">                                                                                                                               </w:t>
      </w:r>
      <w:r w:rsidR="00B55A8A">
        <w:rPr>
          <w:rFonts w:ascii="Times New Roman" w:hAnsi="Times New Roman"/>
          <w:b/>
          <w:sz w:val="20"/>
          <w:szCs w:val="20"/>
        </w:rPr>
        <w:t xml:space="preserve">                </w:t>
      </w:r>
    </w:p>
    <w:p w:rsidR="008D0BBD" w:rsidRPr="000A57E8" w:rsidRDefault="008D0BBD" w:rsidP="008D0BBD">
      <w:pPr>
        <w:pStyle w:val="NoSpacing"/>
        <w:spacing w:line="276" w:lineRule="auto"/>
        <w:rPr>
          <w:rFonts w:ascii="Times New Roman" w:hAnsi="Times New Roman"/>
          <w:color w:val="FF0000"/>
          <w:sz w:val="20"/>
          <w:szCs w:val="20"/>
        </w:rPr>
      </w:pPr>
    </w:p>
    <w:p w:rsidR="008D0BBD" w:rsidRPr="00B55A8A" w:rsidRDefault="00B21F1E" w:rsidP="00B55A8A">
      <w:pPr>
        <w:pStyle w:val="NoSpacing"/>
        <w:spacing w:line="360" w:lineRule="auto"/>
        <w:jc w:val="both"/>
        <w:rPr>
          <w:rFonts w:ascii="Times New Roman" w:hAnsi="Times New Roman"/>
          <w:b/>
          <w:sz w:val="24"/>
          <w:szCs w:val="24"/>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p>
    <w:p w:rsidR="008D0BBD" w:rsidRPr="00B55A8A" w:rsidRDefault="009846CD" w:rsidP="00B55A8A">
      <w:pPr>
        <w:pStyle w:val="NoSpacing"/>
        <w:spacing w:line="360" w:lineRule="auto"/>
        <w:jc w:val="center"/>
        <w:rPr>
          <w:rFonts w:ascii="Times New Roman" w:hAnsi="Times New Roman"/>
          <w:b/>
          <w:sz w:val="24"/>
          <w:szCs w:val="24"/>
        </w:rPr>
      </w:pPr>
      <w:r w:rsidRPr="00B55A8A">
        <w:rPr>
          <w:rFonts w:ascii="Times New Roman" w:hAnsi="Times New Roman"/>
          <w:b/>
          <w:sz w:val="24"/>
          <w:szCs w:val="24"/>
          <w:lang w:val="en-US"/>
        </w:rPr>
        <w:t xml:space="preserve">                                                                                                                                                 </w:t>
      </w:r>
      <w:r w:rsidR="00B55A8A" w:rsidRPr="00B55A8A">
        <w:rPr>
          <w:rFonts w:ascii="Times New Roman" w:hAnsi="Times New Roman"/>
          <w:b/>
          <w:sz w:val="24"/>
          <w:szCs w:val="24"/>
          <w:lang w:val="en-US"/>
        </w:rPr>
        <w:t xml:space="preserve">                         </w:t>
      </w:r>
      <w:r w:rsidR="008D0BBD" w:rsidRPr="00B55A8A">
        <w:rPr>
          <w:rFonts w:ascii="Times New Roman" w:hAnsi="Times New Roman"/>
          <w:b/>
          <w:sz w:val="24"/>
          <w:szCs w:val="24"/>
        </w:rPr>
        <w:t>МИРОСЛАВА ВЛАДИМИРОВА</w:t>
      </w:r>
    </w:p>
    <w:p w:rsidR="00B55A8A" w:rsidRPr="00B55A8A" w:rsidRDefault="00B55A8A" w:rsidP="00B55A8A">
      <w:pPr>
        <w:pStyle w:val="NoSpacing"/>
        <w:spacing w:line="360" w:lineRule="auto"/>
        <w:jc w:val="center"/>
        <w:rPr>
          <w:rFonts w:ascii="Times New Roman" w:hAnsi="Times New Roman"/>
          <w:b/>
          <w:sz w:val="24"/>
          <w:szCs w:val="24"/>
        </w:rPr>
      </w:pPr>
      <w:r w:rsidRPr="00B55A8A">
        <w:rPr>
          <w:rFonts w:ascii="Times New Roman" w:hAnsi="Times New Roman"/>
          <w:b/>
          <w:sz w:val="24"/>
          <w:szCs w:val="24"/>
        </w:rPr>
        <w:t xml:space="preserve">                                                                                                                                                      ГЛАВЕН СЕКРЕТАР</w:t>
      </w:r>
    </w:p>
    <w:p w:rsidR="008D0BBD" w:rsidRPr="000A57E8" w:rsidRDefault="008D0BBD" w:rsidP="008D0BBD">
      <w:pPr>
        <w:pStyle w:val="NoSpacing"/>
        <w:jc w:val="both"/>
        <w:rPr>
          <w:rFonts w:ascii="Times New Roman" w:hAnsi="Times New Roman"/>
          <w:b/>
          <w:sz w:val="20"/>
          <w:szCs w:val="20"/>
        </w:rPr>
      </w:pPr>
    </w:p>
    <w:p w:rsidR="001054D8" w:rsidRPr="000A57E8" w:rsidRDefault="001054D8" w:rsidP="008D0BBD">
      <w:pPr>
        <w:spacing w:after="0" w:line="240" w:lineRule="auto"/>
        <w:jc w:val="both"/>
        <w:rPr>
          <w:rFonts w:ascii="Times New Roman" w:eastAsia="MS Mincho" w:hAnsi="Times New Roman"/>
          <w:sz w:val="20"/>
          <w:szCs w:val="20"/>
          <w:lang w:eastAsia="bg-BG"/>
        </w:rPr>
      </w:pPr>
    </w:p>
    <w:p w:rsidR="004E3325" w:rsidRPr="000A57E8" w:rsidRDefault="004E3325" w:rsidP="004B4B52">
      <w:pPr>
        <w:spacing w:after="0" w:line="240" w:lineRule="auto"/>
        <w:ind w:left="708" w:firstLine="708"/>
        <w:jc w:val="both"/>
        <w:rPr>
          <w:rFonts w:ascii="Times New Roman" w:eastAsia="MS Mincho" w:hAnsi="Times New Roman"/>
          <w:sz w:val="20"/>
          <w:szCs w:val="20"/>
          <w:lang w:eastAsia="bg-BG"/>
        </w:rPr>
      </w:pPr>
    </w:p>
    <w:sectPr w:rsidR="004E3325" w:rsidRPr="000A57E8" w:rsidSect="004B4B52">
      <w:headerReference w:type="default" r:id="rId7"/>
      <w:footerReference w:type="default" r:id="rId8"/>
      <w:pgSz w:w="20160" w:h="12240" w:orient="landscape" w:code="5"/>
      <w:pgMar w:top="284" w:right="720" w:bottom="284" w:left="142" w:header="56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AC" w:rsidRDefault="005335AC">
      <w:pPr>
        <w:spacing w:after="0" w:line="240" w:lineRule="auto"/>
      </w:pPr>
      <w:r>
        <w:separator/>
      </w:r>
    </w:p>
  </w:endnote>
  <w:endnote w:type="continuationSeparator" w:id="0">
    <w:p w:rsidR="005335AC" w:rsidRDefault="00533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F5" w:rsidRPr="00543795" w:rsidRDefault="00D17720">
    <w:pPr>
      <w:pStyle w:val="Footer"/>
      <w:jc w:val="right"/>
      <w:rPr>
        <w:sz w:val="18"/>
        <w:szCs w:val="18"/>
      </w:rPr>
    </w:pPr>
    <w:r w:rsidRPr="00543795">
      <w:rPr>
        <w:sz w:val="18"/>
        <w:szCs w:val="18"/>
      </w:rPr>
      <w:fldChar w:fldCharType="begin"/>
    </w:r>
    <w:r w:rsidRPr="00543795">
      <w:rPr>
        <w:sz w:val="18"/>
        <w:szCs w:val="18"/>
      </w:rPr>
      <w:instrText xml:space="preserve"> PAGE   \* MERGEFORMAT </w:instrText>
    </w:r>
    <w:r w:rsidRPr="00543795">
      <w:rPr>
        <w:sz w:val="18"/>
        <w:szCs w:val="18"/>
      </w:rPr>
      <w:fldChar w:fldCharType="separate"/>
    </w:r>
    <w:r w:rsidR="00EF140F">
      <w:rPr>
        <w:noProof/>
        <w:sz w:val="18"/>
        <w:szCs w:val="18"/>
      </w:rPr>
      <w:t>4</w:t>
    </w:r>
    <w:r w:rsidRPr="0054379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AC" w:rsidRDefault="005335AC">
      <w:pPr>
        <w:spacing w:after="0" w:line="240" w:lineRule="auto"/>
      </w:pPr>
      <w:r>
        <w:separator/>
      </w:r>
    </w:p>
  </w:footnote>
  <w:footnote w:type="continuationSeparator" w:id="0">
    <w:p w:rsidR="005335AC" w:rsidRDefault="00533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F5" w:rsidRDefault="005335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8547B"/>
    <w:multiLevelType w:val="multilevel"/>
    <w:tmpl w:val="777A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9B4192"/>
    <w:multiLevelType w:val="hybridMultilevel"/>
    <w:tmpl w:val="5616F2A8"/>
    <w:lvl w:ilvl="0" w:tplc="0402000F">
      <w:start w:val="1"/>
      <w:numFmt w:val="decimal"/>
      <w:lvlText w:val="%1."/>
      <w:lvlJc w:val="left"/>
      <w:pPr>
        <w:ind w:left="1211"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6B"/>
    <w:rsid w:val="00037C25"/>
    <w:rsid w:val="000619CE"/>
    <w:rsid w:val="000938FE"/>
    <w:rsid w:val="000A57E8"/>
    <w:rsid w:val="000B3548"/>
    <w:rsid w:val="000D28DC"/>
    <w:rsid w:val="001054D8"/>
    <w:rsid w:val="00140928"/>
    <w:rsid w:val="001A4052"/>
    <w:rsid w:val="001A457D"/>
    <w:rsid w:val="00226249"/>
    <w:rsid w:val="00245FD7"/>
    <w:rsid w:val="00301178"/>
    <w:rsid w:val="00326D9B"/>
    <w:rsid w:val="00357AAE"/>
    <w:rsid w:val="003D0FFA"/>
    <w:rsid w:val="00430968"/>
    <w:rsid w:val="00447B01"/>
    <w:rsid w:val="004B4B52"/>
    <w:rsid w:val="004E3325"/>
    <w:rsid w:val="004F3486"/>
    <w:rsid w:val="00500059"/>
    <w:rsid w:val="00523983"/>
    <w:rsid w:val="005335AC"/>
    <w:rsid w:val="005A2F12"/>
    <w:rsid w:val="005F700F"/>
    <w:rsid w:val="00653C5D"/>
    <w:rsid w:val="007D1E78"/>
    <w:rsid w:val="007F1C08"/>
    <w:rsid w:val="00823CD1"/>
    <w:rsid w:val="008B7817"/>
    <w:rsid w:val="008D0BBD"/>
    <w:rsid w:val="008D7170"/>
    <w:rsid w:val="008E2CB3"/>
    <w:rsid w:val="00915FE7"/>
    <w:rsid w:val="00977B9C"/>
    <w:rsid w:val="009846CD"/>
    <w:rsid w:val="009F2478"/>
    <w:rsid w:val="009F4750"/>
    <w:rsid w:val="00A020E3"/>
    <w:rsid w:val="00A31FF2"/>
    <w:rsid w:val="00A355A2"/>
    <w:rsid w:val="00A3741C"/>
    <w:rsid w:val="00AA1F31"/>
    <w:rsid w:val="00AC7770"/>
    <w:rsid w:val="00AF0307"/>
    <w:rsid w:val="00B21F1E"/>
    <w:rsid w:val="00B516D9"/>
    <w:rsid w:val="00B55A8A"/>
    <w:rsid w:val="00B908BE"/>
    <w:rsid w:val="00BA16A6"/>
    <w:rsid w:val="00BB33D8"/>
    <w:rsid w:val="00BC3A40"/>
    <w:rsid w:val="00BE3B49"/>
    <w:rsid w:val="00BF114B"/>
    <w:rsid w:val="00C038E1"/>
    <w:rsid w:val="00C44CC0"/>
    <w:rsid w:val="00C518BA"/>
    <w:rsid w:val="00C96F34"/>
    <w:rsid w:val="00CC4924"/>
    <w:rsid w:val="00D17720"/>
    <w:rsid w:val="00D30BB1"/>
    <w:rsid w:val="00D62DB3"/>
    <w:rsid w:val="00D70EC6"/>
    <w:rsid w:val="00DE464E"/>
    <w:rsid w:val="00DF1612"/>
    <w:rsid w:val="00DF3E50"/>
    <w:rsid w:val="00E05748"/>
    <w:rsid w:val="00E3486B"/>
    <w:rsid w:val="00E56351"/>
    <w:rsid w:val="00E96C88"/>
    <w:rsid w:val="00EF140F"/>
    <w:rsid w:val="00EF2881"/>
    <w:rsid w:val="00F76D72"/>
    <w:rsid w:val="00F90C44"/>
    <w:rsid w:val="00FA4120"/>
    <w:rsid w:val="00FA5FC5"/>
    <w:rsid w:val="00FE30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DE12"/>
  <w15:chartTrackingRefBased/>
  <w15:docId w15:val="{3D54FB1A-DA79-42A4-B0AB-3831B670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BBD"/>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8D0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23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0BBD"/>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D0BBD"/>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D0BBD"/>
    <w:pPr>
      <w:tabs>
        <w:tab w:val="center" w:pos="4703"/>
        <w:tab w:val="right" w:pos="9406"/>
      </w:tabs>
    </w:pPr>
  </w:style>
  <w:style w:type="character" w:customStyle="1" w:styleId="HeaderChar">
    <w:name w:val="Header Char"/>
    <w:basedOn w:val="DefaultParagraphFont"/>
    <w:link w:val="Header"/>
    <w:uiPriority w:val="99"/>
    <w:rsid w:val="008D0BBD"/>
    <w:rPr>
      <w:rFonts w:ascii="Calibri" w:eastAsia="Calibri" w:hAnsi="Calibri" w:cs="Times New Roman"/>
    </w:rPr>
  </w:style>
  <w:style w:type="paragraph" w:styleId="Footer">
    <w:name w:val="footer"/>
    <w:basedOn w:val="Normal"/>
    <w:link w:val="FooterChar"/>
    <w:uiPriority w:val="99"/>
    <w:unhideWhenUsed/>
    <w:rsid w:val="008D0BBD"/>
    <w:pPr>
      <w:tabs>
        <w:tab w:val="center" w:pos="4703"/>
        <w:tab w:val="right" w:pos="9406"/>
      </w:tabs>
    </w:pPr>
  </w:style>
  <w:style w:type="character" w:customStyle="1" w:styleId="FooterChar">
    <w:name w:val="Footer Char"/>
    <w:basedOn w:val="DefaultParagraphFont"/>
    <w:link w:val="Footer"/>
    <w:uiPriority w:val="99"/>
    <w:rsid w:val="008D0BBD"/>
    <w:rPr>
      <w:rFonts w:ascii="Calibri" w:eastAsia="Calibri" w:hAnsi="Calibri" w:cs="Times New Roman"/>
    </w:rPr>
  </w:style>
  <w:style w:type="paragraph" w:styleId="ListParagraph">
    <w:name w:val="List Paragraph"/>
    <w:basedOn w:val="Normal"/>
    <w:uiPriority w:val="34"/>
    <w:qFormat/>
    <w:rsid w:val="008D0BBD"/>
    <w:pPr>
      <w:ind w:left="720"/>
      <w:contextualSpacing/>
    </w:pPr>
  </w:style>
  <w:style w:type="paragraph" w:styleId="NormalWeb">
    <w:name w:val="Normal (Web)"/>
    <w:basedOn w:val="Normal"/>
    <w:uiPriority w:val="99"/>
    <w:unhideWhenUsed/>
    <w:rsid w:val="008D0BBD"/>
    <w:pPr>
      <w:spacing w:before="100" w:beforeAutospacing="1" w:after="100" w:afterAutospacing="1" w:line="240" w:lineRule="auto"/>
    </w:pPr>
    <w:rPr>
      <w:rFonts w:ascii="Times New Roman" w:eastAsia="Times New Roman" w:hAnsi="Times New Roman"/>
      <w:sz w:val="24"/>
      <w:szCs w:val="24"/>
      <w:lang w:eastAsia="bg-BG"/>
    </w:rPr>
  </w:style>
  <w:style w:type="character" w:styleId="Strong">
    <w:name w:val="Strong"/>
    <w:basedOn w:val="DefaultParagraphFont"/>
    <w:uiPriority w:val="22"/>
    <w:qFormat/>
    <w:rsid w:val="008D0BBD"/>
    <w:rPr>
      <w:b/>
      <w:bCs/>
    </w:rPr>
  </w:style>
  <w:style w:type="paragraph" w:styleId="BalloonText">
    <w:name w:val="Balloon Text"/>
    <w:basedOn w:val="Normal"/>
    <w:link w:val="BalloonTextChar"/>
    <w:uiPriority w:val="99"/>
    <w:semiHidden/>
    <w:unhideWhenUsed/>
    <w:rsid w:val="008D0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BBD"/>
    <w:rPr>
      <w:rFonts w:ascii="Segoe UI" w:eastAsia="Calibri" w:hAnsi="Segoe UI" w:cs="Segoe UI"/>
      <w:sz w:val="18"/>
      <w:szCs w:val="18"/>
    </w:rPr>
  </w:style>
  <w:style w:type="character" w:customStyle="1" w:styleId="Heading4Char">
    <w:name w:val="Heading 4 Char"/>
    <w:basedOn w:val="DefaultParagraphFont"/>
    <w:link w:val="Heading4"/>
    <w:uiPriority w:val="9"/>
    <w:semiHidden/>
    <w:rsid w:val="00823CD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91291">
      <w:bodyDiv w:val="1"/>
      <w:marLeft w:val="0"/>
      <w:marRight w:val="0"/>
      <w:marTop w:val="0"/>
      <w:marBottom w:val="0"/>
      <w:divBdr>
        <w:top w:val="none" w:sz="0" w:space="0" w:color="auto"/>
        <w:left w:val="none" w:sz="0" w:space="0" w:color="auto"/>
        <w:bottom w:val="none" w:sz="0" w:space="0" w:color="auto"/>
        <w:right w:val="none" w:sz="0" w:space="0" w:color="auto"/>
      </w:divBdr>
    </w:div>
    <w:div w:id="1551379810">
      <w:bodyDiv w:val="1"/>
      <w:marLeft w:val="0"/>
      <w:marRight w:val="0"/>
      <w:marTop w:val="0"/>
      <w:marBottom w:val="0"/>
      <w:divBdr>
        <w:top w:val="none" w:sz="0" w:space="0" w:color="auto"/>
        <w:left w:val="none" w:sz="0" w:space="0" w:color="auto"/>
        <w:bottom w:val="none" w:sz="0" w:space="0" w:color="auto"/>
        <w:right w:val="none" w:sz="0" w:space="0" w:color="auto"/>
      </w:divBdr>
    </w:div>
    <w:div w:id="213478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Kalina Pavlova</dc:creator>
  <cp:keywords/>
  <dc:description/>
  <cp:lastModifiedBy>ELISAVETA VELKOVA KISIOVA</cp:lastModifiedBy>
  <cp:revision>2</cp:revision>
  <cp:lastPrinted>2023-11-01T09:47:00Z</cp:lastPrinted>
  <dcterms:created xsi:type="dcterms:W3CDTF">2025-03-31T07:58:00Z</dcterms:created>
  <dcterms:modified xsi:type="dcterms:W3CDTF">2025-03-31T07:58:00Z</dcterms:modified>
</cp:coreProperties>
</file>